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p>
    <w:p>
      <w:pPr>
        <w:spacing w:after="60"/>
      </w:pPr>
    </w:p>
    <w:p>
      <w:pPr>
        <w:spacing w:after="60"/>
      </w:pPr>
    </w:p>
    <w:p>
      <w:pPr>
        <w:spacing w:after="60"/>
      </w:pPr>
    </w:p>
    <w:p>
      <w:pPr>
        <w:spacing w:after="200"/>
        <w:jc w:val="center"/>
      </w:pPr>
      <w:r>
        <w:drawing>
          <wp:inline distT="0" distB="0" distL="0" distR="0">
            <wp:extent cx="1143000" cy="1066800"/>
            <wp:effectExtent t="0" r="0" b="0" l="0"/>
            <wp:docPr id="1" name="MOPC Logo" descr="Monaco Ocean Protection Challenge Logo" title="MO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0" cy="1066800"/>
                    </a:xfrm>
                    <a:prstGeom prst="rect">
                      <a:avLst/>
                    </a:prstGeom>
                  </pic:spPr>
                </pic:pic>
              </a:graphicData>
            </a:graphic>
          </wp:inline>
        </w:drawing>
      </w:r>
    </w:p>
    <w:p>
      <w:pPr>
        <w:spacing w:after="60"/>
      </w:pPr>
    </w:p>
    <w:p>
      <w:pPr>
        <w:spacing w:after="100"/>
        <w:jc w:val="center"/>
      </w:pPr>
      <w:r>
        <w:rPr>
          <w:rFonts w:ascii="Arial" w:cs="Arial" w:eastAsia="Arial" w:hAnsi="Arial"/>
          <w:b/>
          <w:bCs/>
          <w:color w:val="0C2340"/>
          <w:sz w:val="40"/>
          <w:szCs w:val="40"/>
        </w:rPr>
        <w:t xml:space="preserve">MOPC Platform</w:t>
      </w:r>
    </w:p>
    <w:p>
      <w:pPr>
        <w:spacing w:after="60"/>
        <w:jc w:val="center"/>
      </w:pPr>
      <w:r>
        <w:rPr>
          <w:rFonts w:ascii="Arial" w:cs="Arial" w:eastAsia="Arial" w:hAnsi="Arial"/>
          <w:color w:val="1B5E8A"/>
          <w:sz w:val="32"/>
          <w:szCs w:val="32"/>
        </w:rPr>
        <w:t xml:space="preserve">GDPR Compliance Documentation</w:t>
      </w:r>
    </w:p>
    <w:p>
      <w:pPr>
        <w:spacing w:after="60"/>
      </w:pPr>
    </w:p>
    <w:p>
      <w:pPr>
        <w:pBdr>
          <w:bottom w:val="single" w:color="2980B9" w:sz="4"/>
        </w:pBdr>
        <w:spacing w:after="300"/>
        <w:jc w:val="center"/>
      </w:pPr>
    </w:p>
    <w:p>
      <w:pPr>
        <w:spacing w:after="60"/>
        <w:jc w:val="center"/>
      </w:pPr>
      <w:r>
        <w:rPr>
          <w:rFonts w:ascii="Arial" w:cs="Arial" w:eastAsia="Arial" w:hAnsi="Arial"/>
          <w:color w:val="2C3E50"/>
          <w:sz w:val="22"/>
          <w:szCs w:val="22"/>
        </w:rPr>
        <w:t xml:space="preserve">Document Version: 2.0</w:t>
      </w:r>
    </w:p>
    <w:p>
      <w:pPr>
        <w:spacing w:after="60"/>
        <w:jc w:val="center"/>
      </w:pPr>
      <w:r>
        <w:rPr>
          <w:rFonts w:ascii="Arial" w:cs="Arial" w:eastAsia="Arial" w:hAnsi="Arial"/>
          <w:color w:val="2C3E50"/>
          <w:sz w:val="22"/>
          <w:szCs w:val="22"/>
        </w:rPr>
        <w:t xml:space="preserve">Last Updated: February 2026</w:t>
      </w:r>
    </w:p>
    <w:p>
      <w:pPr>
        <w:spacing w:after="60"/>
        <w:jc w:val="center"/>
      </w:pPr>
      <w:r>
        <w:rPr>
          <w:rFonts w:ascii="Arial" w:cs="Arial" w:eastAsia="Arial" w:hAnsi="Arial"/>
          <w:color w:val="2C3E50"/>
          <w:sz w:val="22"/>
          <w:szCs w:val="22"/>
        </w:rPr>
        <w:t xml:space="preserve">Classification: Internal / Compliance</w:t>
      </w:r>
    </w:p>
    <w:p>
      <w:pPr>
        <w:spacing w:after="60"/>
      </w:pPr>
    </w:p>
    <w:p>
      <w:pPr>
        <w:spacing w:after="60"/>
      </w:pPr>
    </w:p>
    <w:p>
      <w:pPr>
        <w:spacing w:after="60"/>
      </w:pPr>
    </w:p>
    <w:p>
      <w:pPr>
        <w:spacing w:after="60"/>
      </w:pPr>
    </w:p>
    <w:p>
      <w:pPr>
        <w:spacing w:after="60"/>
      </w:pPr>
    </w:p>
    <w:p>
      <w:pPr>
        <w:spacing w:after="60"/>
      </w:pPr>
    </w:p>
    <w:p>
      <w:pPr>
        <w:jc w:val="center"/>
      </w:pPr>
      <w:r>
        <w:rPr>
          <w:rFonts w:ascii="Arial" w:cs="Arial" w:eastAsia="Arial" w:hAnsi="Arial"/>
          <w:i/>
          <w:iCs/>
          <w:color w:val="1B5E8A"/>
          <w:sz w:val="24"/>
          <w:szCs w:val="24"/>
        </w:rPr>
        <w:t xml:space="preserve">Monaco Ocean Protection Challenge</w:t>
      </w:r>
    </w:p>
    <w:p>
      <w:r>
        <w:br w:type="page"/>
      </w:r>
    </w:p>
    <w:p>
      <w:pPr>
        <w:spacing w:after="200"/>
      </w:pPr>
      <w:r>
        <w:rPr>
          <w:rFonts w:ascii="Arial" w:cs="Arial" w:eastAsia="Arial" w:hAnsi="Arial"/>
          <w:b/>
          <w:bCs/>
          <w:color w:val="0C2340"/>
          <w:sz w:val="28"/>
          <w:szCs w:val="28"/>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spacing w:before="360" w:after="200"/>
      </w:pPr>
      <w:r>
        <w:rPr>
          <w:rFonts w:ascii="Arial" w:cs="Arial" w:eastAsia="Arial" w:hAnsi="Arial"/>
          <w:b/>
          <w:bCs/>
          <w:color w:val="0C2340"/>
          <w:sz w:val="28"/>
          <w:szCs w:val="28"/>
        </w:rPr>
        <w:t xml:space="preserve">1. Definitions</w:t>
      </w:r>
    </w:p>
    <w:p>
      <w:pPr>
        <w:spacing w:after="120" w:line="276"/>
      </w:pPr>
      <w:r>
        <w:rPr>
          <w:rFonts w:ascii="Arial" w:cs="Arial" w:eastAsia="Arial" w:hAnsi="Arial"/>
          <w:b w:val="false"/>
          <w:bCs w:val="false"/>
          <w:i w:val="false"/>
          <w:iCs w:val="false"/>
          <w:color w:val="2C3E50"/>
          <w:sz w:val="20"/>
          <w:szCs w:val="20"/>
        </w:rPr>
        <w:t xml:space="preserve">For the purposes of this document, the following definitions apply: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Term</w:t>
            </w:r>
          </w:p>
        </w:tc>
        <w:tc>
          <w:tcPr>
            <w:tcW w:type="dxa" w:w="6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Definition</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Personal Data</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Any information relating to an identified or identifiable natural person (‘data subject’); an identifiable natural person is one who can be identified, directly or indirectly, by reference to an identifier such as a name, identification number, location data, an online identifier, or factors specific to the physical, physiological, genetic, mental, economic, cultural or social identity of that natural person.</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Any operation or set of operations performed on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Controller</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natural or legal person, public authority, agency or other body which, alone or jointly with others, determines the purposes and means of the processing of personal data.</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Processor</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 natural or legal person, public authority, agency or other body which processes personal data on behalf of the controller.</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Subject</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 identified or identifiable natural person whose personal data is being processed.</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Consent</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Any freely given, specific, informed and unambiguous indication of the data subject’s wishes by which he or she, by a statement or by a clear affirmative action, signifies agreement to the processing of personal data relating to him or her.</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Personal Data Breach</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 breach of security leading to the accidental or unlawful destruction, loss, alteration, unauthorised disclosure of, or access to, personal data transmitted, stored or otherwise processed.</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Supervisory Authority</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 independent public authority established by a Member State or, in the case of Monaco, the Autorité de Protection des Données Personnelles (APDP).</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Pseudonymisation</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processing of personal data in such a manner that the data can no longer be attributed to a specific data subject without the use of additional information, provided that such additional information is kept separately.</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Anonymisation</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The irreversible process of altering personal data so that the data subject cannot be identified directly or indirectly. Anonymised data is not considered personal data under GDPR.</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Special Categories of Personal Data</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Personal data revealing racial or ethnic origin, political opinions, religious or philosophical beliefs, trade union membership, genetic data, biometric data, data concerning health, or data concerning sex life or sexual orientation.</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Recipient</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 natural or legal person, public authority, agency or another body, to which personal data are disclosed, whether a third party or not.</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Third Party</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 natural or legal person, public authority, agency or body other than the data subject, controller, processor and persons authorised to process personal data under the direct authority of the controller or processor.</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APDP</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Autorité de Protection des Données Personnelles – Monaco’s data protection supervisory authority, established under Law 1.565 of December 3, 2024, replacing the former CCIN.</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Platform</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MOPC web application accessible at monaco-opc.com, including all associated services, APIs, and infrastructure.</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Competition</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The Monaco Ocean Protection Challenge, an annual competition for ocean conservation projects.</w:t>
            </w:r>
          </w:p>
        </w:tc>
      </w:tr>
    </w:tbl>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2. Data Controller Information</w:t>
      </w:r>
    </w:p>
    <w:p>
      <w:pPr>
        <w:pStyle w:val="Heading2"/>
        <w:spacing w:before="280" w:after="160"/>
      </w:pPr>
      <w:r>
        <w:rPr>
          <w:rFonts w:ascii="Arial" w:cs="Arial" w:eastAsia="Arial" w:hAnsi="Arial"/>
          <w:b/>
          <w:bCs/>
          <w:color w:val="1B5E8A"/>
          <w:sz w:val="24"/>
          <w:szCs w:val="24"/>
        </w:rPr>
        <w:t xml:space="preserve">2.1 Primary Data Controller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Field</w:t>
            </w:r>
          </w:p>
        </w:tc>
        <w:tc>
          <w:tcPr>
            <w:tcW w:type="dxa" w:w="67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Details</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Organisation Name</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Monaco Ocean Protection Challenge Organization</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Legal Status</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Non-profit organization</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Country</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Principality of Monaco</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gdpr@monaco-opc.com</w:t>
            </w:r>
          </w:p>
        </w:tc>
      </w:tr>
    </w:tbl>
    <w:p>
      <w:pPr>
        <w:pStyle w:val="Heading2"/>
        <w:spacing w:before="280" w:after="160"/>
      </w:pPr>
      <w:r>
        <w:rPr>
          <w:rFonts w:ascii="Arial" w:cs="Arial" w:eastAsia="Arial" w:hAnsi="Arial"/>
          <w:b/>
          <w:bCs/>
          <w:color w:val="1B5E8A"/>
          <w:sz w:val="24"/>
          <w:szCs w:val="24"/>
        </w:rPr>
        <w:t xml:space="preserve">2.2 Joint Controllers</w:t>
      </w:r>
    </w:p>
    <w:p>
      <w:pPr>
        <w:spacing w:after="120" w:line="276"/>
      </w:pPr>
      <w:r>
        <w:rPr>
          <w:rFonts w:ascii="Arial" w:cs="Arial" w:eastAsia="Arial" w:hAnsi="Arial"/>
          <w:b w:val="false"/>
          <w:bCs w:val="false"/>
          <w:i w:val="false"/>
          <w:iCs w:val="false"/>
          <w:color w:val="2C3E50"/>
          <w:sz w:val="20"/>
          <w:szCs w:val="20"/>
        </w:rPr>
        <w:t xml:space="preserve">The Monaco Ocean Protection Challenge is organized jointly by the following entities, who act as joint controllers for the processing of participant data:</w:t>
      </w:r>
    </w:p>
    <w:p>
      <w:pPr>
        <w:pStyle w:val="ListParagraph"/>
        <w:numPr>
          <w:ilvl w:val="0"/>
          <w:numId w:val="2"/>
        </w:numPr>
        <w:spacing w:after="60" w:line="276"/>
      </w:pPr>
      <w:r>
        <w:rPr>
          <w:rFonts w:ascii="Arial" w:cs="Arial" w:eastAsia="Arial" w:hAnsi="Arial"/>
          <w:color w:val="2C3E50"/>
          <w:sz w:val="20"/>
          <w:szCs w:val="20"/>
        </w:rPr>
        <w:t xml:space="preserve">International University of Monaco (IUM)</w:t>
      </w:r>
    </w:p>
    <w:p>
      <w:pPr>
        <w:pStyle w:val="ListParagraph"/>
        <w:numPr>
          <w:ilvl w:val="0"/>
          <w:numId w:val="2"/>
        </w:numPr>
        <w:spacing w:after="60" w:line="276"/>
      </w:pPr>
      <w:r>
        <w:rPr>
          <w:rFonts w:ascii="Arial" w:cs="Arial" w:eastAsia="Arial" w:hAnsi="Arial"/>
          <w:color w:val="2C3E50"/>
          <w:sz w:val="20"/>
          <w:szCs w:val="20"/>
        </w:rPr>
        <w:t xml:space="preserve">Oceanographic Institute (Institut océanographique, Fondation Albert Ier, Prince de Monaco)</w:t>
      </w:r>
    </w:p>
    <w:p>
      <w:pPr>
        <w:pStyle w:val="ListParagraph"/>
        <w:numPr>
          <w:ilvl w:val="0"/>
          <w:numId w:val="2"/>
        </w:numPr>
        <w:spacing w:after="60" w:line="276"/>
      </w:pPr>
      <w:r>
        <w:rPr>
          <w:rFonts w:ascii="Arial" w:cs="Arial" w:eastAsia="Arial" w:hAnsi="Arial"/>
          <w:color w:val="2C3E50"/>
          <w:sz w:val="20"/>
          <w:szCs w:val="20"/>
        </w:rPr>
        <w:t xml:space="preserve">Prince Albert I of Monaco Foundation</w:t>
      </w:r>
    </w:p>
    <w:p>
      <w:pPr>
        <w:pStyle w:val="ListParagraph"/>
        <w:numPr>
          <w:ilvl w:val="0"/>
          <w:numId w:val="2"/>
        </w:numPr>
        <w:spacing w:after="60" w:line="276"/>
      </w:pPr>
      <w:r>
        <w:rPr>
          <w:rFonts w:ascii="Arial" w:cs="Arial" w:eastAsia="Arial" w:hAnsi="Arial"/>
          <w:color w:val="2C3E50"/>
          <w:sz w:val="20"/>
          <w:szCs w:val="20"/>
        </w:rPr>
        <w:t xml:space="preserve">Monaco Impact</w:t>
      </w:r>
    </w:p>
    <w:p>
      <w:pPr>
        <w:pStyle w:val="ListParagraph"/>
        <w:numPr>
          <w:ilvl w:val="0"/>
          <w:numId w:val="2"/>
        </w:numPr>
        <w:spacing w:after="60" w:line="276"/>
      </w:pPr>
      <w:r>
        <w:rPr>
          <w:rFonts w:ascii="Arial" w:cs="Arial" w:eastAsia="Arial" w:hAnsi="Arial"/>
          <w:color w:val="2C3E50"/>
          <w:sz w:val="20"/>
          <w:szCs w:val="20"/>
        </w:rPr>
        <w:t xml:space="preserve">Prince Albert II of Monaco Foundation</w:t>
      </w:r>
    </w:p>
    <w:p>
      <w:pPr>
        <w:pStyle w:val="Heading2"/>
        <w:spacing w:before="280" w:after="160"/>
      </w:pPr>
      <w:r>
        <w:rPr>
          <w:rFonts w:ascii="Arial" w:cs="Arial" w:eastAsia="Arial" w:hAnsi="Arial"/>
          <w:b/>
          <w:bCs/>
          <w:color w:val="1B5E8A"/>
          <w:sz w:val="24"/>
          <w:szCs w:val="24"/>
        </w:rPr>
        <w:t xml:space="preserve">2.3 Joint Controller Arrangement</w:t>
      </w:r>
    </w:p>
    <w:p>
      <w:pPr>
        <w:spacing w:after="120" w:line="276"/>
      </w:pPr>
      <w:r>
        <w:rPr>
          <w:rFonts w:ascii="Arial" w:cs="Arial" w:eastAsia="Arial" w:hAnsi="Arial"/>
          <w:b w:val="false"/>
          <w:bCs w:val="false"/>
          <w:i w:val="false"/>
          <w:iCs w:val="false"/>
          <w:color w:val="2C3E50"/>
          <w:sz w:val="20"/>
          <w:szCs w:val="20"/>
        </w:rPr>
        <w:t xml:space="preserve">In accordance with Article 26 of the GDPR, the joint controllers have determined their respective responsibilities for compliance with data protection obligations:</w:t>
      </w:r>
    </w:p>
    <w:p>
      <w:pPr>
        <w:spacing w:after="100" w:line="276"/>
      </w:pPr>
      <w:r>
        <w:rPr>
          <w:rFonts w:ascii="Arial" w:cs="Arial" w:eastAsia="Arial" w:hAnsi="Arial"/>
          <w:b/>
          <w:bCs/>
          <w:color w:val="1A1A2E"/>
          <w:sz w:val="20"/>
          <w:szCs w:val="20"/>
        </w:rPr>
        <w:t xml:space="preserve">The Monaco Ocean Protection Challenge Organization </w:t>
      </w:r>
      <w:r>
        <w:rPr>
          <w:rFonts w:ascii="Arial" w:cs="Arial" w:eastAsia="Arial" w:hAnsi="Arial"/>
          <w:color w:val="2C3E50"/>
          <w:sz w:val="20"/>
          <w:szCs w:val="20"/>
        </w:rPr>
        <w:t xml:space="preserve">is the primary point of contact for data subjects and bears responsibility for:</w:t>
      </w:r>
    </w:p>
    <w:p>
      <w:pPr>
        <w:pStyle w:val="ListParagraph"/>
        <w:numPr>
          <w:ilvl w:val="0"/>
          <w:numId w:val="3"/>
        </w:numPr>
        <w:spacing w:after="60" w:line="276"/>
      </w:pPr>
      <w:r>
        <w:rPr>
          <w:rFonts w:ascii="Arial" w:cs="Arial" w:eastAsia="Arial" w:hAnsi="Arial"/>
          <w:color w:val="2C3E50"/>
          <w:sz w:val="20"/>
          <w:szCs w:val="20"/>
        </w:rPr>
        <w:t xml:space="preserve">Maintaining the Platform and its data security</w:t>
      </w:r>
    </w:p>
    <w:p>
      <w:pPr>
        <w:pStyle w:val="ListParagraph"/>
        <w:numPr>
          <w:ilvl w:val="0"/>
          <w:numId w:val="3"/>
        </w:numPr>
        <w:spacing w:after="60" w:line="276"/>
      </w:pPr>
      <w:r>
        <w:rPr>
          <w:rFonts w:ascii="Arial" w:cs="Arial" w:eastAsia="Arial" w:hAnsi="Arial"/>
          <w:color w:val="2C3E50"/>
          <w:sz w:val="20"/>
          <w:szCs w:val="20"/>
        </w:rPr>
        <w:t xml:space="preserve">Responding to data subject requests</w:t>
      </w:r>
    </w:p>
    <w:p>
      <w:pPr>
        <w:pStyle w:val="ListParagraph"/>
        <w:numPr>
          <w:ilvl w:val="0"/>
          <w:numId w:val="3"/>
        </w:numPr>
        <w:spacing w:after="60" w:line="276"/>
      </w:pPr>
      <w:r>
        <w:rPr>
          <w:rFonts w:ascii="Arial" w:cs="Arial" w:eastAsia="Arial" w:hAnsi="Arial"/>
          <w:color w:val="2C3E50"/>
          <w:sz w:val="20"/>
          <w:szCs w:val="20"/>
        </w:rPr>
        <w:t xml:space="preserve">Managing the technical infrastructure</w:t>
      </w:r>
    </w:p>
    <w:p>
      <w:pPr>
        <w:pStyle w:val="ListParagraph"/>
        <w:numPr>
          <w:ilvl w:val="0"/>
          <w:numId w:val="3"/>
        </w:numPr>
        <w:spacing w:after="60" w:line="276"/>
      </w:pPr>
      <w:r>
        <w:rPr>
          <w:rFonts w:ascii="Arial" w:cs="Arial" w:eastAsia="Arial" w:hAnsi="Arial"/>
          <w:color w:val="2C3E50"/>
          <w:sz w:val="20"/>
          <w:szCs w:val="20"/>
        </w:rPr>
        <w:t xml:space="preserve">Coordinating with subprocessors</w:t>
      </w:r>
    </w:p>
    <w:p>
      <w:pPr>
        <w:spacing w:after="60"/>
      </w:pPr>
    </w:p>
    <w:p>
      <w:pPr>
        <w:spacing w:after="100" w:line="276"/>
      </w:pPr>
      <w:r>
        <w:rPr>
          <w:rFonts w:ascii="Arial" w:cs="Arial" w:eastAsia="Arial" w:hAnsi="Arial"/>
          <w:b/>
          <w:bCs/>
          <w:color w:val="1A1A2E"/>
          <w:sz w:val="20"/>
          <w:szCs w:val="20"/>
        </w:rPr>
        <w:t xml:space="preserve">All joint controllers </w:t>
      </w:r>
      <w:r>
        <w:rPr>
          <w:rFonts w:ascii="Arial" w:cs="Arial" w:eastAsia="Arial" w:hAnsi="Arial"/>
          <w:color w:val="2C3E50"/>
          <w:sz w:val="20"/>
          <w:szCs w:val="20"/>
        </w:rPr>
        <w:t xml:space="preserve">share responsibility for:</w:t>
      </w:r>
    </w:p>
    <w:p>
      <w:pPr>
        <w:pStyle w:val="ListParagraph"/>
        <w:numPr>
          <w:ilvl w:val="0"/>
          <w:numId w:val="4"/>
        </w:numPr>
        <w:spacing w:after="60" w:line="276"/>
      </w:pPr>
      <w:r>
        <w:rPr>
          <w:rFonts w:ascii="Arial" w:cs="Arial" w:eastAsia="Arial" w:hAnsi="Arial"/>
          <w:color w:val="2C3E50"/>
          <w:sz w:val="20"/>
          <w:szCs w:val="20"/>
        </w:rPr>
        <w:t xml:space="preserve">Determining the purposes of processing</w:t>
      </w:r>
    </w:p>
    <w:p>
      <w:pPr>
        <w:pStyle w:val="ListParagraph"/>
        <w:numPr>
          <w:ilvl w:val="0"/>
          <w:numId w:val="4"/>
        </w:numPr>
        <w:spacing w:after="60" w:line="276"/>
      </w:pPr>
      <w:r>
        <w:rPr>
          <w:rFonts w:ascii="Arial" w:cs="Arial" w:eastAsia="Arial" w:hAnsi="Arial"/>
          <w:color w:val="2C3E50"/>
          <w:sz w:val="20"/>
          <w:szCs w:val="20"/>
        </w:rPr>
        <w:t xml:space="preserve">Ensuring lawful basis for processing</w:t>
      </w:r>
    </w:p>
    <w:p>
      <w:pPr>
        <w:pStyle w:val="ListParagraph"/>
        <w:numPr>
          <w:ilvl w:val="0"/>
          <w:numId w:val="4"/>
        </w:numPr>
        <w:spacing w:after="60" w:line="276"/>
      </w:pPr>
      <w:r>
        <w:rPr>
          <w:rFonts w:ascii="Arial" w:cs="Arial" w:eastAsia="Arial" w:hAnsi="Arial"/>
          <w:color w:val="2C3E50"/>
          <w:sz w:val="20"/>
          <w:szCs w:val="20"/>
        </w:rPr>
        <w:t xml:space="preserve">Providing transparent information to data subjects</w:t>
      </w:r>
    </w:p>
    <w:p>
      <w:pPr>
        <w:pStyle w:val="Heading2"/>
        <w:spacing w:before="280" w:after="160"/>
      </w:pPr>
      <w:r>
        <w:rPr>
          <w:rFonts w:ascii="Arial" w:cs="Arial" w:eastAsia="Arial" w:hAnsi="Arial"/>
          <w:b/>
          <w:bCs/>
          <w:color w:val="1B5E8A"/>
          <w:sz w:val="24"/>
          <w:szCs w:val="24"/>
        </w:rPr>
        <w:t xml:space="preserve">2.4 Data Protection Contact</w:t>
      </w:r>
    </w:p>
    <w:p>
      <w:pPr>
        <w:spacing w:after="120" w:line="276"/>
      </w:pPr>
      <w:r>
        <w:rPr>
          <w:rFonts w:ascii="Arial" w:cs="Arial" w:eastAsia="Arial" w:hAnsi="Arial"/>
          <w:b w:val="false"/>
          <w:bCs w:val="false"/>
          <w:i w:val="false"/>
          <w:iCs w:val="false"/>
          <w:color w:val="2C3E50"/>
          <w:sz w:val="20"/>
          <w:szCs w:val="20"/>
        </w:rPr>
        <w:t xml:space="preserve">For all data protection inquiries, data subject requests, and privacy-related matters:</w:t>
      </w:r>
    </w:p>
    <w:p>
      <w:pPr>
        <w:spacing w:after="100" w:line="276"/>
      </w:pPr>
      <w:r>
        <w:rPr>
          <w:rFonts w:ascii="Arial" w:cs="Arial" w:eastAsia="Arial" w:hAnsi="Arial"/>
          <w:b/>
          <w:bCs/>
          <w:color w:val="1A1A2E"/>
          <w:sz w:val="20"/>
          <w:szCs w:val="20"/>
        </w:rPr>
        <w:t xml:space="preserve">Email: </w:t>
      </w:r>
      <w:r>
        <w:rPr>
          <w:rFonts w:ascii="Arial" w:cs="Arial" w:eastAsia="Arial" w:hAnsi="Arial"/>
          <w:color w:val="2C3E50"/>
          <w:sz w:val="20"/>
          <w:szCs w:val="20"/>
        </w:rPr>
        <w:t xml:space="preserve">gdpr@monaco-opc.com</w:t>
      </w:r>
    </w:p>
    <w:p>
      <w:pPr>
        <w:spacing w:after="120" w:line="276"/>
      </w:pPr>
      <w:r>
        <w:rPr>
          <w:rFonts w:ascii="Arial" w:cs="Arial" w:eastAsia="Arial" w:hAnsi="Arial"/>
          <w:b w:val="false"/>
          <w:bCs w:val="false"/>
          <w:i w:val="false"/>
          <w:iCs w:val="false"/>
          <w:color w:val="2C3E50"/>
          <w:sz w:val="20"/>
          <w:szCs w:val="20"/>
        </w:rPr>
        <w:t xml:space="preserve">Data subjects may contact any of the joint controllers regarding their rights, but the above email serves as the central contact point for efficiency.</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3. Legal Framework</w:t>
      </w:r>
    </w:p>
    <w:p>
      <w:pPr>
        <w:pStyle w:val="Heading2"/>
        <w:spacing w:before="280" w:after="160"/>
      </w:pPr>
      <w:r>
        <w:rPr>
          <w:rFonts w:ascii="Arial" w:cs="Arial" w:eastAsia="Arial" w:hAnsi="Arial"/>
          <w:b/>
          <w:bCs/>
          <w:color w:val="1B5E8A"/>
          <w:sz w:val="24"/>
          <w:szCs w:val="24"/>
        </w:rPr>
        <w:t xml:space="preserve">3.1 Applicable Laws</w:t>
      </w:r>
    </w:p>
    <w:p>
      <w:pPr>
        <w:spacing w:after="120" w:line="276"/>
      </w:pPr>
      <w:r>
        <w:rPr>
          <w:rFonts w:ascii="Arial" w:cs="Arial" w:eastAsia="Arial" w:hAnsi="Arial"/>
          <w:b w:val="false"/>
          <w:bCs w:val="false"/>
          <w:i w:val="false"/>
          <w:iCs w:val="false"/>
          <w:color w:val="2C3E50"/>
          <w:sz w:val="20"/>
          <w:szCs w:val="20"/>
        </w:rPr>
        <w:t xml:space="preserve">The Platform’s data processing activities are subject to the following legal frameworks:</w:t>
      </w:r>
    </w:p>
    <w:p>
      <w:pPr>
        <w:spacing w:before="200" w:after="120"/>
      </w:pPr>
      <w:r>
        <w:rPr>
          <w:rFonts w:ascii="Arial" w:cs="Arial" w:eastAsia="Arial" w:hAnsi="Arial"/>
          <w:b/>
          <w:bCs/>
          <w:color w:val="1B5E8A"/>
          <w:sz w:val="22"/>
          <w:szCs w:val="22"/>
        </w:rPr>
        <w:t xml:space="preserve">Monaco Law</w:t>
      </w:r>
    </w:p>
    <w:p>
      <w:pPr>
        <w:pStyle w:val="ListParagraph"/>
        <w:numPr>
          <w:ilvl w:val="0"/>
          <w:numId w:val="5"/>
        </w:numPr>
        <w:spacing w:after="60" w:line="276"/>
      </w:pPr>
      <w:r>
        <w:rPr>
          <w:rFonts w:ascii="Arial" w:cs="Arial" w:eastAsia="Arial" w:hAnsi="Arial"/>
          <w:b/>
          <w:bCs/>
          <w:color w:val="1A1A2E"/>
          <w:sz w:val="20"/>
          <w:szCs w:val="20"/>
        </w:rPr>
        <w:t xml:space="preserve">Law No. 1.565 of December 3, 2024 </w:t>
      </w:r>
      <w:r>
        <w:rPr>
          <w:rFonts w:ascii="Arial" w:cs="Arial" w:eastAsia="Arial" w:hAnsi="Arial"/>
          <w:color w:val="2C3E50"/>
          <w:sz w:val="20"/>
          <w:szCs w:val="20"/>
        </w:rPr>
        <w:t xml:space="preserve">on the Protection of Personal Data</w:t>
      </w:r>
    </w:p>
    <w:p>
      <w:pPr>
        <w:pStyle w:val="ListParagraph"/>
        <w:numPr>
          <w:ilvl w:val="0"/>
          <w:numId w:val="5"/>
        </w:numPr>
        <w:spacing w:after="60" w:line="276"/>
      </w:pPr>
      <w:r>
        <w:rPr>
          <w:rFonts w:ascii="Arial" w:cs="Arial" w:eastAsia="Arial" w:hAnsi="Arial"/>
          <w:color w:val="2C3E50"/>
          <w:sz w:val="20"/>
          <w:szCs w:val="20"/>
        </w:rPr>
        <w:t xml:space="preserve">Entered into force in 2025</w:t>
      </w:r>
    </w:p>
    <w:p>
      <w:pPr>
        <w:pStyle w:val="ListParagraph"/>
        <w:numPr>
          <w:ilvl w:val="0"/>
          <w:numId w:val="5"/>
        </w:numPr>
        <w:spacing w:after="60" w:line="276"/>
      </w:pPr>
      <w:r>
        <w:rPr>
          <w:rFonts w:ascii="Arial" w:cs="Arial" w:eastAsia="Arial" w:hAnsi="Arial"/>
          <w:color w:val="2C3E50"/>
          <w:sz w:val="20"/>
          <w:szCs w:val="20"/>
        </w:rPr>
        <w:t xml:space="preserve">Replaces the former Law No. 1.165 of December 23, 1993</w:t>
      </w:r>
    </w:p>
    <w:p>
      <w:pPr>
        <w:pStyle w:val="ListParagraph"/>
        <w:numPr>
          <w:ilvl w:val="0"/>
          <w:numId w:val="5"/>
        </w:numPr>
        <w:spacing w:after="60" w:line="276"/>
      </w:pPr>
      <w:r>
        <w:rPr>
          <w:rFonts w:ascii="Arial" w:cs="Arial" w:eastAsia="Arial" w:hAnsi="Arial"/>
          <w:color w:val="2C3E50"/>
          <w:sz w:val="20"/>
          <w:szCs w:val="20"/>
        </w:rPr>
        <w:t xml:space="preserve">Aligns with Convention 108+ and GDPR principles</w:t>
      </w:r>
    </w:p>
    <w:p>
      <w:pPr>
        <w:pStyle w:val="ListParagraph"/>
        <w:numPr>
          <w:ilvl w:val="0"/>
          <w:numId w:val="5"/>
        </w:numPr>
        <w:spacing w:after="60" w:line="276"/>
      </w:pPr>
      <w:r>
        <w:rPr>
          <w:rFonts w:ascii="Arial" w:cs="Arial" w:eastAsia="Arial" w:hAnsi="Arial"/>
          <w:color w:val="2C3E50"/>
          <w:sz w:val="20"/>
          <w:szCs w:val="20"/>
        </w:rPr>
        <w:t xml:space="preserve">Establishes the APDP as the supervisory authority</w:t>
      </w:r>
    </w:p>
    <w:p>
      <w:pPr>
        <w:spacing w:after="60"/>
      </w:pPr>
    </w:p>
    <w:p>
      <w:pPr>
        <w:pStyle w:val="ListParagraph"/>
        <w:numPr>
          <w:ilvl w:val="0"/>
          <w:numId w:val="6"/>
        </w:numPr>
        <w:spacing w:after="60" w:line="276"/>
      </w:pPr>
      <w:r>
        <w:rPr>
          <w:rFonts w:ascii="Arial" w:cs="Arial" w:eastAsia="Arial" w:hAnsi="Arial"/>
          <w:b/>
          <w:bCs/>
          <w:color w:val="1A1A2E"/>
          <w:sz w:val="20"/>
          <w:szCs w:val="20"/>
        </w:rPr>
        <w:t xml:space="preserve">Law No. 1.566 of December 3, 2024 </w:t>
      </w:r>
      <w:r>
        <w:rPr>
          <w:rFonts w:ascii="Arial" w:cs="Arial" w:eastAsia="Arial" w:hAnsi="Arial"/>
          <w:color w:val="2C3E50"/>
          <w:sz w:val="20"/>
          <w:szCs w:val="20"/>
        </w:rPr>
        <w:t xml:space="preserve">ratifying the amending protocol to Convention 108</w:t>
      </w:r>
    </w:p>
    <w:p>
      <w:pPr>
        <w:pStyle w:val="ListParagraph"/>
        <w:numPr>
          <w:ilvl w:val="0"/>
          <w:numId w:val="6"/>
        </w:numPr>
        <w:spacing w:after="60" w:line="276"/>
      </w:pPr>
      <w:r>
        <w:rPr>
          <w:rFonts w:ascii="Arial" w:cs="Arial" w:eastAsia="Arial" w:hAnsi="Arial"/>
          <w:color w:val="2C3E50"/>
          <w:sz w:val="20"/>
          <w:szCs w:val="20"/>
        </w:rPr>
        <w:t xml:space="preserve">Monaco ratified Convention 108+ on March 6, 2025</w:t>
      </w:r>
    </w:p>
    <w:p>
      <w:pPr>
        <w:spacing w:before="200" w:after="120"/>
      </w:pPr>
      <w:r>
        <w:rPr>
          <w:rFonts w:ascii="Arial" w:cs="Arial" w:eastAsia="Arial" w:hAnsi="Arial"/>
          <w:b/>
          <w:bCs/>
          <w:color w:val="1B5E8A"/>
          <w:sz w:val="22"/>
          <w:szCs w:val="22"/>
        </w:rPr>
        <w:t xml:space="preserve">European Union Law</w:t>
      </w:r>
    </w:p>
    <w:p>
      <w:pPr>
        <w:pStyle w:val="ListParagraph"/>
        <w:numPr>
          <w:ilvl w:val="0"/>
          <w:numId w:val="7"/>
        </w:numPr>
        <w:spacing w:after="60" w:line="276"/>
      </w:pPr>
      <w:r>
        <w:rPr>
          <w:rFonts w:ascii="Arial" w:cs="Arial" w:eastAsia="Arial" w:hAnsi="Arial"/>
          <w:b/>
          <w:bCs/>
          <w:color w:val="1A1A2E"/>
          <w:sz w:val="20"/>
          <w:szCs w:val="20"/>
        </w:rPr>
        <w:t xml:space="preserve">Regulation (EU) 2016/679 </w:t>
      </w:r>
      <w:r>
        <w:rPr>
          <w:rFonts w:ascii="Arial" w:cs="Arial" w:eastAsia="Arial" w:hAnsi="Arial"/>
          <w:color w:val="2C3E50"/>
          <w:sz w:val="20"/>
          <w:szCs w:val="20"/>
        </w:rPr>
        <w:t xml:space="preserve">(General Data Protection Regulation – GDPR)</w:t>
      </w:r>
    </w:p>
    <w:p>
      <w:pPr>
        <w:pStyle w:val="ListParagraph"/>
        <w:numPr>
          <w:ilvl w:val="0"/>
          <w:numId w:val="7"/>
        </w:numPr>
        <w:spacing w:after="60" w:line="276"/>
      </w:pPr>
      <w:r>
        <w:rPr>
          <w:rFonts w:ascii="Arial" w:cs="Arial" w:eastAsia="Arial" w:hAnsi="Arial"/>
          <w:color w:val="2C3E50"/>
          <w:sz w:val="20"/>
          <w:szCs w:val="20"/>
        </w:rPr>
        <w:t xml:space="preserve">Applicable to processing of EU residents’ data</w:t>
      </w:r>
    </w:p>
    <w:p>
      <w:pPr>
        <w:pStyle w:val="ListParagraph"/>
        <w:numPr>
          <w:ilvl w:val="0"/>
          <w:numId w:val="7"/>
        </w:numPr>
        <w:spacing w:after="60" w:line="276"/>
      </w:pPr>
      <w:r>
        <w:rPr>
          <w:rFonts w:ascii="Arial" w:cs="Arial" w:eastAsia="Arial" w:hAnsi="Arial"/>
          <w:color w:val="2C3E50"/>
          <w:sz w:val="20"/>
          <w:szCs w:val="20"/>
        </w:rPr>
        <w:t xml:space="preserve">Applicable due to server location in Austria (EU)</w:t>
      </w:r>
    </w:p>
    <w:p>
      <w:pPr>
        <w:spacing w:after="60"/>
      </w:pPr>
    </w:p>
    <w:p>
      <w:pPr>
        <w:pStyle w:val="ListParagraph"/>
        <w:numPr>
          <w:ilvl w:val="0"/>
          <w:numId w:val="8"/>
        </w:numPr>
        <w:spacing w:after="60" w:line="276"/>
      </w:pPr>
      <w:r>
        <w:rPr>
          <w:rFonts w:ascii="Arial" w:cs="Arial" w:eastAsia="Arial" w:hAnsi="Arial"/>
          <w:b/>
          <w:bCs/>
          <w:color w:val="1A1A2E"/>
          <w:sz w:val="20"/>
          <w:szCs w:val="20"/>
        </w:rPr>
        <w:t xml:space="preserve">Directive 2002/58/EC </w:t>
      </w:r>
      <w:r>
        <w:rPr>
          <w:rFonts w:ascii="Arial" w:cs="Arial" w:eastAsia="Arial" w:hAnsi="Arial"/>
          <w:color w:val="2C3E50"/>
          <w:sz w:val="20"/>
          <w:szCs w:val="20"/>
        </w:rPr>
        <w:t xml:space="preserve">(ePrivacy Directive)</w:t>
      </w:r>
    </w:p>
    <w:p>
      <w:pPr>
        <w:pStyle w:val="ListParagraph"/>
        <w:numPr>
          <w:ilvl w:val="0"/>
          <w:numId w:val="8"/>
        </w:numPr>
        <w:spacing w:after="60" w:line="276"/>
      </w:pPr>
      <w:r>
        <w:rPr>
          <w:rFonts w:ascii="Arial" w:cs="Arial" w:eastAsia="Arial" w:hAnsi="Arial"/>
          <w:color w:val="2C3E50"/>
          <w:sz w:val="20"/>
          <w:szCs w:val="20"/>
        </w:rPr>
        <w:t xml:space="preserve">Applicable to electronic communications</w:t>
      </w:r>
    </w:p>
    <w:p>
      <w:pPr>
        <w:spacing w:before="200" w:after="120"/>
      </w:pPr>
      <w:r>
        <w:rPr>
          <w:rFonts w:ascii="Arial" w:cs="Arial" w:eastAsia="Arial" w:hAnsi="Arial"/>
          <w:b/>
          <w:bCs/>
          <w:color w:val="1B5E8A"/>
          <w:sz w:val="22"/>
          <w:szCs w:val="22"/>
        </w:rPr>
        <w:t xml:space="preserve">Territorial Scope</w:t>
      </w:r>
    </w:p>
    <w:p>
      <w:pPr>
        <w:spacing w:after="120" w:line="276"/>
      </w:pPr>
      <w:r>
        <w:rPr>
          <w:rFonts w:ascii="Arial" w:cs="Arial" w:eastAsia="Arial" w:hAnsi="Arial"/>
          <w:b w:val="false"/>
          <w:bCs w:val="false"/>
          <w:i w:val="false"/>
          <w:iCs w:val="false"/>
          <w:color w:val="2C3E50"/>
          <w:sz w:val="20"/>
          <w:szCs w:val="20"/>
        </w:rPr>
        <w:t xml:space="preserve">The Platform processes data of individuals located in: the Principality of Monaco, European Union Member States, and other countries (the competition is open internationally).</w:t>
      </w:r>
    </w:p>
    <w:p>
      <w:pPr>
        <w:spacing w:after="120" w:line="276"/>
      </w:pPr>
      <w:r>
        <w:rPr>
          <w:rFonts w:ascii="Arial" w:cs="Arial" w:eastAsia="Arial" w:hAnsi="Arial"/>
          <w:b w:val="false"/>
          <w:bCs w:val="false"/>
          <w:i w:val="false"/>
          <w:iCs w:val="false"/>
          <w:color w:val="2C3E50"/>
          <w:sz w:val="20"/>
          <w:szCs w:val="20"/>
        </w:rPr>
        <w:t xml:space="preserve">Due to the server infrastructure being located in Austria (EU) and the international nature of participants, GDPR standards are applied as the baseline for all data processing activities.</w:t>
      </w:r>
    </w:p>
    <w:p>
      <w:pPr>
        <w:pStyle w:val="Heading2"/>
        <w:spacing w:before="280" w:after="160"/>
      </w:pPr>
      <w:r>
        <w:rPr>
          <w:rFonts w:ascii="Arial" w:cs="Arial" w:eastAsia="Arial" w:hAnsi="Arial"/>
          <w:b/>
          <w:bCs/>
          <w:color w:val="1B5E8A"/>
          <w:sz w:val="24"/>
          <w:szCs w:val="24"/>
        </w:rPr>
        <w:t xml:space="preserve">3.2 Supervisory Authority</w:t>
      </w:r>
    </w:p>
    <w:p>
      <w:pPr>
        <w:spacing w:after="100" w:line="276"/>
      </w:pPr>
      <w:r>
        <w:rPr>
          <w:rFonts w:ascii="Arial" w:cs="Arial" w:eastAsia="Arial" w:hAnsi="Arial"/>
          <w:b/>
          <w:bCs/>
          <w:color w:val="1A1A2E"/>
          <w:sz w:val="20"/>
          <w:szCs w:val="20"/>
        </w:rPr>
        <w:t xml:space="preserve">Primary Supervisory Authority: </w:t>
      </w:r>
      <w:r>
        <w:rPr>
          <w:rFonts w:ascii="Arial" w:cs="Arial" w:eastAsia="Arial" w:hAnsi="Arial"/>
          <w:color w:val="2C3E50"/>
          <w:sz w:val="20"/>
          <w:szCs w:val="20"/>
        </w:rPr>
        <w:t xml:space="preserve">Autorité de Protection des Données Personnelles (APDP), Principality of Monaco</w:t>
      </w:r>
    </w:p>
    <w:p>
      <w:pPr>
        <w:spacing w:after="120" w:line="276"/>
      </w:pPr>
      <w:r>
        <w:rPr>
          <w:rFonts w:ascii="Arial" w:cs="Arial" w:eastAsia="Arial" w:hAnsi="Arial"/>
          <w:b w:val="false"/>
          <w:bCs w:val="false"/>
          <w:i w:val="false"/>
          <w:iCs w:val="false"/>
          <w:color w:val="2C3E50"/>
          <w:sz w:val="20"/>
          <w:szCs w:val="20"/>
        </w:rPr>
        <w:t xml:space="preserve">The APDP was established under Law 1.565 of December 3, 2024, replacing the former Commission de Contrôle des Informations Nominatives (CCIN). The APDP has the following powers:</w:t>
      </w:r>
    </w:p>
    <w:p>
      <w:pPr>
        <w:pStyle w:val="ListParagraph"/>
        <w:numPr>
          <w:ilvl w:val="0"/>
          <w:numId w:val="3"/>
        </w:numPr>
        <w:spacing w:after="60" w:line="276"/>
      </w:pPr>
      <w:r>
        <w:rPr>
          <w:rFonts w:ascii="Arial" w:cs="Arial" w:eastAsia="Arial" w:hAnsi="Arial"/>
          <w:color w:val="2C3E50"/>
          <w:sz w:val="20"/>
          <w:szCs w:val="20"/>
        </w:rPr>
        <w:t xml:space="preserve">Investigation and control powers</w:t>
      </w:r>
    </w:p>
    <w:p>
      <w:pPr>
        <w:pStyle w:val="ListParagraph"/>
        <w:numPr>
          <w:ilvl w:val="0"/>
          <w:numId w:val="3"/>
        </w:numPr>
        <w:spacing w:after="60" w:line="276"/>
      </w:pPr>
      <w:r>
        <w:rPr>
          <w:rFonts w:ascii="Arial" w:cs="Arial" w:eastAsia="Arial" w:hAnsi="Arial"/>
          <w:color w:val="2C3E50"/>
          <w:sz w:val="20"/>
          <w:szCs w:val="20"/>
        </w:rPr>
        <w:t xml:space="preserve">Access to premises where data processing is carried out</w:t>
      </w:r>
    </w:p>
    <w:p>
      <w:pPr>
        <w:pStyle w:val="ListParagraph"/>
        <w:numPr>
          <w:ilvl w:val="0"/>
          <w:numId w:val="3"/>
        </w:numPr>
        <w:spacing w:after="60" w:line="276"/>
      </w:pPr>
      <w:r>
        <w:rPr>
          <w:rFonts w:ascii="Arial" w:cs="Arial" w:eastAsia="Arial" w:hAnsi="Arial"/>
          <w:color w:val="2C3E50"/>
          <w:sz w:val="20"/>
          <w:szCs w:val="20"/>
        </w:rPr>
        <w:t xml:space="preserve">Authority to request relevant documents</w:t>
      </w:r>
    </w:p>
    <w:p>
      <w:pPr>
        <w:pStyle w:val="ListParagraph"/>
        <w:numPr>
          <w:ilvl w:val="0"/>
          <w:numId w:val="3"/>
        </w:numPr>
        <w:spacing w:after="60" w:line="276"/>
      </w:pPr>
      <w:r>
        <w:rPr>
          <w:rFonts w:ascii="Arial" w:cs="Arial" w:eastAsia="Arial" w:hAnsi="Arial"/>
          <w:color w:val="2C3E50"/>
          <w:sz w:val="20"/>
          <w:szCs w:val="20"/>
        </w:rPr>
        <w:t xml:space="preserve">Power to issue warnings, formal notices, and processing restrictions</w:t>
      </w:r>
    </w:p>
    <w:p>
      <w:pPr>
        <w:pStyle w:val="ListParagraph"/>
        <w:numPr>
          <w:ilvl w:val="0"/>
          <w:numId w:val="3"/>
        </w:numPr>
        <w:spacing w:after="60" w:line="276"/>
      </w:pPr>
      <w:r>
        <w:rPr>
          <w:rFonts w:ascii="Arial" w:cs="Arial" w:eastAsia="Arial" w:hAnsi="Arial"/>
          <w:color w:val="2C3E50"/>
          <w:sz w:val="20"/>
          <w:szCs w:val="20"/>
        </w:rPr>
        <w:t xml:space="preserve">Authority to impose administrative fines up to €10 million</w:t>
      </w:r>
    </w:p>
    <w:p>
      <w:pPr>
        <w:pStyle w:val="Heading2"/>
        <w:spacing w:before="280" w:after="160"/>
      </w:pPr>
      <w:r>
        <w:rPr>
          <w:rFonts w:ascii="Arial" w:cs="Arial" w:eastAsia="Arial" w:hAnsi="Arial"/>
          <w:b/>
          <w:bCs/>
          <w:color w:val="1B5E8A"/>
          <w:sz w:val="24"/>
          <w:szCs w:val="24"/>
        </w:rPr>
        <w:t xml:space="preserve">3.3 EU Adequacy Status</w:t>
      </w:r>
    </w:p>
    <w:p>
      <w:pPr>
        <w:spacing w:after="120" w:line="276"/>
      </w:pPr>
      <w:r>
        <w:rPr>
          <w:rFonts w:ascii="Arial" w:cs="Arial" w:eastAsia="Arial" w:hAnsi="Arial"/>
          <w:b w:val="false"/>
          <w:bCs w:val="false"/>
          <w:i w:val="false"/>
          <w:iCs w:val="false"/>
          <w:color w:val="2C3E50"/>
          <w:sz w:val="20"/>
          <w:szCs w:val="20"/>
        </w:rPr>
        <w:t xml:space="preserve">As of February 2026, Monaco has formally requested an EU adequacy decision. The European Commission is reviewing Monaco’s framework following the ratification of Convention 108+ and the adoption of Law 1.565. An adequacy decision would streamline EU-Monaco data flows.</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4. Personal Data Inventory</w:t>
      </w:r>
    </w:p>
    <w:p>
      <w:pPr>
        <w:pStyle w:val="Heading2"/>
        <w:spacing w:before="280" w:after="160"/>
      </w:pPr>
      <w:r>
        <w:rPr>
          <w:rFonts w:ascii="Arial" w:cs="Arial" w:eastAsia="Arial" w:hAnsi="Arial"/>
          <w:b/>
          <w:bCs/>
          <w:color w:val="1B5E8A"/>
          <w:sz w:val="24"/>
          <w:szCs w:val="24"/>
        </w:rPr>
        <w:t xml:space="preserve">4.1 Categories of Personal Data Processed</w:t>
      </w:r>
    </w:p>
    <w:p>
      <w:pPr>
        <w:spacing w:before="200" w:after="120"/>
      </w:pPr>
      <w:r>
        <w:rPr>
          <w:rFonts w:ascii="Arial" w:cs="Arial" w:eastAsia="Arial" w:hAnsi="Arial"/>
          <w:b/>
          <w:bCs/>
          <w:color w:val="1B5E8A"/>
          <w:sz w:val="22"/>
          <w:szCs w:val="22"/>
        </w:rPr>
        <w:t xml:space="preserve">4.1.1 User Account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800"/>
        <w:gridCol w:w="21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Element</w:t>
            </w:r>
          </w:p>
        </w:tc>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Category</w:t>
            </w:r>
          </w:p>
        </w:tc>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Source</w:t>
            </w:r>
          </w:p>
        </w:tc>
        <w:tc>
          <w:tcPr>
            <w:tcW w:type="dxa" w:w="21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Mandatory</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Email address</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Contact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registration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Full name</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Identity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registration</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Phone number</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Contact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profile</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No</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Profile photograph</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Image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upload</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No</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role</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Administrator assignment</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Account status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Password hash</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registration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 (if password auth used)</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Last login timestamp</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Usage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Account creation date</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bl>
    <w:p>
      <w:pPr>
        <w:spacing w:before="200" w:after="120"/>
      </w:pPr>
      <w:r>
        <w:rPr>
          <w:rFonts w:ascii="Arial" w:cs="Arial" w:eastAsia="Arial" w:hAnsi="Arial"/>
          <w:b/>
          <w:bCs/>
          <w:color w:val="1B5E8A"/>
          <w:sz w:val="22"/>
          <w:szCs w:val="22"/>
        </w:rPr>
        <w:t xml:space="preserve">4.1.2 Project/Application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800"/>
        <w:gridCol w:w="21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Element</w:t>
            </w:r>
          </w:p>
        </w:tc>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Category</w:t>
            </w:r>
          </w:p>
        </w:tc>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Source</w:t>
            </w:r>
          </w:p>
        </w:tc>
        <w:tc>
          <w:tcPr>
            <w:tcW w:type="dxa" w:w="21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Mandatory</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title</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Content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description</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Content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name</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Identity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member names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Identity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member emails</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Contact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member roles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Professional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No</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Organisation/Institution</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Professional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No</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Country</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Location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Geographic zone</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Location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No</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founding date</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Temporal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No</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Competition category</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Classification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selection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Ocean issue focus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Classification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selection</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tags</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Classification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No</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Uploaded files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Document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upload</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Varies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Video pitch</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Media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upload</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No</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External links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Reference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Applicant submission</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No</w:t>
            </w:r>
          </w:p>
        </w:tc>
      </w:tr>
    </w:tbl>
    <w:p>
      <w:pPr>
        <w:spacing w:before="200" w:after="120"/>
      </w:pPr>
      <w:r>
        <w:rPr>
          <w:rFonts w:ascii="Arial" w:cs="Arial" w:eastAsia="Arial" w:hAnsi="Arial"/>
          <w:b/>
          <w:bCs/>
          <w:color w:val="1B5E8A"/>
          <w:sz w:val="22"/>
          <w:szCs w:val="22"/>
        </w:rPr>
        <w:t xml:space="preserve">4.1.3 Evaluation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800"/>
        <w:gridCol w:w="21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Element</w:t>
            </w:r>
          </w:p>
        </w:tc>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Category</w:t>
            </w:r>
          </w:p>
        </w:tc>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Source</w:t>
            </w:r>
          </w:p>
        </w:tc>
        <w:tc>
          <w:tcPr>
            <w:tcW w:type="dxa" w:w="21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Mandatory</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Evaluation scores</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Assessment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Jury member</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Written comments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Assessment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Jury member</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Evaluation timestamp</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Temporal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Evaluator identity</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Identity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Evaluation version</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r>
    </w:tbl>
    <w:p>
      <w:pPr>
        <w:spacing w:before="200" w:after="120"/>
      </w:pPr>
      <w:r>
        <w:rPr>
          <w:rFonts w:ascii="Arial" w:cs="Arial" w:eastAsia="Arial" w:hAnsi="Arial"/>
          <w:b/>
          <w:bCs/>
          <w:color w:val="1B5E8A"/>
          <w:sz w:val="22"/>
          <w:szCs w:val="22"/>
        </w:rPr>
        <w:t xml:space="preserve">4.1.4 Technical and Security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800"/>
        <w:gridCol w:w="21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Element</w:t>
            </w:r>
          </w:p>
        </w:tc>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Category</w:t>
            </w:r>
          </w:p>
        </w:tc>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Source</w:t>
            </w:r>
          </w:p>
        </w:tc>
        <w:tc>
          <w:tcPr>
            <w:tcW w:type="dxa" w:w="21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Retention</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IP address</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Network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collection</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agent string</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Device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collection</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Session tokens</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Session duration</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Magic link tokens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15 minutes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Audit log entries</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Error logs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Technical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30 days</w:t>
            </w:r>
          </w:p>
        </w:tc>
      </w:tr>
    </w:tbl>
    <w:p>
      <w:pPr>
        <w:spacing w:before="200" w:after="120"/>
      </w:pPr>
      <w:r>
        <w:rPr>
          <w:rFonts w:ascii="Arial" w:cs="Arial" w:eastAsia="Arial" w:hAnsi="Arial"/>
          <w:b/>
          <w:bCs/>
          <w:color w:val="1B5E8A"/>
          <w:sz w:val="22"/>
          <w:szCs w:val="22"/>
        </w:rPr>
        <w:t xml:space="preserve">4.1.5 AI Processing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800"/>
        <w:gridCol w:w="21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Element</w:t>
            </w:r>
          </w:p>
        </w:tc>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Category</w:t>
            </w:r>
          </w:p>
        </w:tc>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Source</w:t>
            </w:r>
          </w:p>
        </w:tc>
        <w:tc>
          <w:tcPr>
            <w:tcW w:type="dxa" w:w="21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Retention</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project data</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Derived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processing</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Not stored</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 usage logs</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data</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Token consumption</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data</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System generated</w:t>
            </w:r>
          </w:p>
        </w:tc>
        <w:tc>
          <w:tcPr>
            <w:tcW w:type="dxa" w:w="2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w:t>
            </w:r>
          </w:p>
        </w:tc>
      </w:tr>
    </w:tbl>
    <w:p>
      <w:pPr>
        <w:spacing w:after="120" w:line="276"/>
      </w:pPr>
      <w:r>
        <w:rPr>
          <w:rFonts w:ascii="Arial" w:cs="Arial" w:eastAsia="Arial" w:hAnsi="Arial"/>
          <w:b w:val="false"/>
          <w:bCs w:val="false"/>
          <w:i/>
          <w:iCs/>
          <w:color w:val="2C3E50"/>
          <w:sz w:val="20"/>
          <w:szCs w:val="20"/>
        </w:rPr>
        <w:t xml:space="preserve">Note: Personal data is never sent to AI services. All AI processing uses anonymised data only. See the AI Data Processing companion document for details.</w:t>
      </w:r>
    </w:p>
    <w:p>
      <w:pPr>
        <w:pStyle w:val="Heading2"/>
        <w:spacing w:before="280" w:after="160"/>
      </w:pPr>
      <w:r>
        <w:rPr>
          <w:rFonts w:ascii="Arial" w:cs="Arial" w:eastAsia="Arial" w:hAnsi="Arial"/>
          <w:b/>
          <w:bCs/>
          <w:color w:val="1B5E8A"/>
          <w:sz w:val="24"/>
          <w:szCs w:val="24"/>
        </w:rPr>
        <w:t xml:space="preserve">4.2 Special Categories of Personal Data</w:t>
      </w:r>
    </w:p>
    <w:p>
      <w:pPr>
        <w:spacing w:after="120" w:line="276"/>
      </w:pPr>
      <w:r>
        <w:rPr>
          <w:rFonts w:ascii="Arial" w:cs="Arial" w:eastAsia="Arial" w:hAnsi="Arial"/>
          <w:b w:val="false"/>
          <w:bCs w:val="false"/>
          <w:i w:val="false"/>
          <w:iCs w:val="false"/>
          <w:color w:val="2C3E50"/>
          <w:sz w:val="20"/>
          <w:szCs w:val="20"/>
        </w:rPr>
        <w:t xml:space="preserve">The Platform does not intentionally collect or process special categories of personal data as defined in Article 9 of the GDPR. However, applicants may voluntarily include such information in free-text fields (e.g., project descriptions mentioning health-related ocean conservation work).</w:t>
      </w:r>
    </w:p>
    <w:p>
      <w:pPr>
        <w:spacing w:after="100" w:line="276"/>
      </w:pPr>
      <w:r>
        <w:rPr>
          <w:rFonts w:ascii="Arial" w:cs="Arial" w:eastAsia="Arial" w:hAnsi="Arial"/>
          <w:b/>
          <w:bCs/>
          <w:color w:val="1A1A2E"/>
          <w:sz w:val="20"/>
          <w:szCs w:val="20"/>
        </w:rPr>
        <w:t xml:space="preserve">Mitigation measures:</w:t>
      </w:r>
      <w:r>
        <w:rPr>
          <w:rFonts w:ascii="Arial" w:cs="Arial" w:eastAsia="Arial" w:hAnsi="Arial"/>
          <w:color w:val="2C3E50"/>
          <w:sz w:val="20"/>
          <w:szCs w:val="20"/>
        </w:rPr>
        <w:t xml:space="preserve"/>
      </w:r>
    </w:p>
    <w:p>
      <w:pPr>
        <w:pStyle w:val="ListParagraph"/>
        <w:numPr>
          <w:ilvl w:val="0"/>
          <w:numId w:val="3"/>
        </w:numPr>
        <w:spacing w:after="60" w:line="276"/>
      </w:pPr>
      <w:r>
        <w:rPr>
          <w:rFonts w:ascii="Arial" w:cs="Arial" w:eastAsia="Arial" w:hAnsi="Arial"/>
          <w:color w:val="2C3E50"/>
          <w:sz w:val="20"/>
          <w:szCs w:val="20"/>
        </w:rPr>
        <w:t xml:space="preserve">No specific fields request special category data</w:t>
      </w:r>
    </w:p>
    <w:p>
      <w:pPr>
        <w:pStyle w:val="ListParagraph"/>
        <w:numPr>
          <w:ilvl w:val="0"/>
          <w:numId w:val="3"/>
        </w:numPr>
        <w:spacing w:after="60" w:line="276"/>
      </w:pPr>
      <w:r>
        <w:rPr>
          <w:rFonts w:ascii="Arial" w:cs="Arial" w:eastAsia="Arial" w:hAnsi="Arial"/>
          <w:color w:val="2C3E50"/>
          <w:sz w:val="20"/>
          <w:szCs w:val="20"/>
        </w:rPr>
        <w:t xml:space="preserve">Privacy notice advises against including sensitive personal information</w:t>
      </w:r>
    </w:p>
    <w:p>
      <w:pPr>
        <w:pStyle w:val="ListParagraph"/>
        <w:numPr>
          <w:ilvl w:val="0"/>
          <w:numId w:val="3"/>
        </w:numPr>
        <w:spacing w:after="60" w:line="276"/>
      </w:pPr>
      <w:r>
        <w:rPr>
          <w:rFonts w:ascii="Arial" w:cs="Arial" w:eastAsia="Arial" w:hAnsi="Arial"/>
          <w:color w:val="2C3E50"/>
          <w:sz w:val="20"/>
          <w:szCs w:val="20"/>
        </w:rPr>
        <w:t xml:space="preserve">AI anonymisation strips personally identifying information before processing</w:t>
      </w:r>
    </w:p>
    <w:p>
      <w:pPr>
        <w:pStyle w:val="Heading2"/>
        <w:spacing w:before="280" w:after="160"/>
      </w:pPr>
      <w:r>
        <w:rPr>
          <w:rFonts w:ascii="Arial" w:cs="Arial" w:eastAsia="Arial" w:hAnsi="Arial"/>
          <w:b/>
          <w:bCs/>
          <w:color w:val="1B5E8A"/>
          <w:sz w:val="24"/>
          <w:szCs w:val="24"/>
        </w:rPr>
        <w:t xml:space="preserve">4.3 Children’s Data</w:t>
      </w:r>
    </w:p>
    <w:p>
      <w:pPr>
        <w:spacing w:after="120" w:line="276"/>
      </w:pPr>
      <w:r>
        <w:rPr>
          <w:rFonts w:ascii="Arial" w:cs="Arial" w:eastAsia="Arial" w:hAnsi="Arial"/>
          <w:b w:val="false"/>
          <w:bCs w:val="false"/>
          <w:i w:val="false"/>
          <w:iCs w:val="false"/>
          <w:color w:val="2C3E50"/>
          <w:sz w:val="20"/>
          <w:szCs w:val="20"/>
        </w:rPr>
        <w:t xml:space="preserve">The Platform is not directed at children under the age of 16. The Competition is intended for adult participants, teams, and organisations. Registration requires confirmation that the user is at least 18 years of age or has parental/guardian consent.</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5. Legal Basis for Processing</w:t>
      </w:r>
    </w:p>
    <w:p>
      <w:pPr>
        <w:pStyle w:val="Heading2"/>
        <w:spacing w:before="280" w:after="160"/>
      </w:pPr>
      <w:r>
        <w:rPr>
          <w:rFonts w:ascii="Arial" w:cs="Arial" w:eastAsia="Arial" w:hAnsi="Arial"/>
          <w:b/>
          <w:bCs/>
          <w:color w:val="1B5E8A"/>
          <w:sz w:val="24"/>
          <w:szCs w:val="24"/>
        </w:rPr>
        <w:t xml:space="preserve">5.1 Overview of Legal Bases</w:t>
      </w:r>
    </w:p>
    <w:p>
      <w:pPr>
        <w:spacing w:after="120" w:line="276"/>
      </w:pPr>
      <w:r>
        <w:rPr>
          <w:rFonts w:ascii="Arial" w:cs="Arial" w:eastAsia="Arial" w:hAnsi="Arial"/>
          <w:b w:val="false"/>
          <w:bCs w:val="false"/>
          <w:i w:val="false"/>
          <w:iCs w:val="false"/>
          <w:color w:val="2C3E50"/>
          <w:sz w:val="20"/>
          <w:szCs w:val="20"/>
        </w:rPr>
        <w:t xml:space="preserve">The Platform relies on the following legal bases for processing personal data under Article 6(1) of the GDPR: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5360"/>
      </w:tblGrid>
      <w:tr>
        <w:trPr>
          <w:tblHeader/>
        </w:trPr>
        <w:tc>
          <w:tcPr>
            <w:tcW w:type="dxa" w:w="2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Legal Basis</w:t>
            </w:r>
          </w:p>
        </w:tc>
        <w:tc>
          <w:tcPr>
            <w:tcW w:type="dxa" w:w="1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GDPR Article</w:t>
            </w:r>
          </w:p>
        </w:tc>
        <w:tc>
          <w:tcPr>
            <w:tcW w:type="dxa" w:w="53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Description</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 Performance</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6(1)(b)</w:t>
            </w:r>
          </w:p>
        </w:tc>
        <w:tc>
          <w:tcPr>
            <w:tcW w:type="dxa" w:w="5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necessary for the performance of a contract to which the data subject is party, or to take steps at the request of the data subject prior to entering into a contract.</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Art. 6(1)(f)</w:t>
            </w:r>
          </w:p>
        </w:tc>
        <w:tc>
          <w:tcPr>
            <w:tcW w:type="dxa" w:w="5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necessary for the purposes of legitimate interests pursued by the controller or a third party, except where overridden by the interests or fundamental rights and freedoms of the data subject.</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Consent</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6(1)(a)</w:t>
            </w:r>
          </w:p>
        </w:tc>
        <w:tc>
          <w:tcPr>
            <w:tcW w:type="dxa" w:w="5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data subject has given consent to the processing of his or her personal data for one or more specific purposes.</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Legal Obligation</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Art. 6(1)(c)</w:t>
            </w:r>
          </w:p>
        </w:tc>
        <w:tc>
          <w:tcPr>
            <w:tcW w:type="dxa" w:w="5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necessary for compliance with a legal obligation to which the controller is subject.</w:t>
            </w:r>
          </w:p>
        </w:tc>
      </w:tr>
    </w:tbl>
    <w:p>
      <w:pPr>
        <w:pStyle w:val="Heading2"/>
        <w:spacing w:before="280" w:after="160"/>
      </w:pPr>
      <w:r>
        <w:rPr>
          <w:rFonts w:ascii="Arial" w:cs="Arial" w:eastAsia="Arial" w:hAnsi="Arial"/>
          <w:b/>
          <w:bCs/>
          <w:color w:val="1B5E8A"/>
          <w:sz w:val="24"/>
          <w:szCs w:val="24"/>
        </w:rPr>
        <w:t xml:space="preserve">5.2 Processing Activities and Legal Bases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4160"/>
      </w:tblGrid>
      <w:tr>
        <w:trPr>
          <w:tblHeader/>
        </w:trPr>
        <w:tc>
          <w:tcPr>
            <w:tcW w:type="dxa" w:w="3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Processing Activity</w:t>
            </w:r>
          </w:p>
        </w:tc>
        <w:tc>
          <w:tcPr>
            <w:tcW w:type="dxa" w:w="2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Legal Basis</w:t>
            </w:r>
          </w:p>
        </w:tc>
        <w:tc>
          <w:tcPr>
            <w:tcW w:type="dxa" w:w="41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Justification</w:t>
            </w:r>
          </w:p>
        </w:tc>
      </w:tr>
      <w:tr>
        <w:tc>
          <w:tcPr>
            <w:tcW w:type="dxa" w:w="3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account creation and management</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 Performance</w:t>
            </w:r>
          </w:p>
        </w:tc>
        <w:tc>
          <w:tcPr>
            <w:tcW w:type="dxa" w:w="4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Necessary to provide access to the Platform and enable participation</w:t>
            </w:r>
          </w:p>
        </w:tc>
      </w:tr>
      <w:tr>
        <w:tc>
          <w:tcPr>
            <w:tcW w:type="dxa" w:w="3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submission processing</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 Performance</w:t>
            </w:r>
          </w:p>
        </w:tc>
        <w:tc>
          <w:tcPr>
            <w:tcW w:type="dxa" w:w="4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Necessary to accept and process Competition entries</w:t>
            </w:r>
          </w:p>
        </w:tc>
      </w:tr>
      <w:tr>
        <w:tc>
          <w:tcPr>
            <w:tcW w:type="dxa" w:w="3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Jury evaluation and scoring</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 Performance</w:t>
            </w:r>
          </w:p>
        </w:tc>
        <w:tc>
          <w:tcPr>
            <w:tcW w:type="dxa" w:w="4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Necessary to conduct the Competition judging process</w:t>
            </w:r>
          </w:p>
        </w:tc>
      </w:tr>
      <w:tr>
        <w:tc>
          <w:tcPr>
            <w:tcW w:type="dxa" w:w="3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Email notifications (competition-related)</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 Performance</w:t>
            </w:r>
          </w:p>
        </w:tc>
        <w:tc>
          <w:tcPr>
            <w:tcW w:type="dxa" w:w="4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Necessary to communicate essential information about submissions and results</w:t>
            </w:r>
          </w:p>
        </w:tc>
      </w:tr>
      <w:tr>
        <w:tc>
          <w:tcPr>
            <w:tcW w:type="dxa" w:w="3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AI-powered project filtering</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4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Efficient processing of large numbers of applications; balanced by anonymisation measures</w:t>
            </w:r>
          </w:p>
        </w:tc>
      </w:tr>
      <w:tr>
        <w:tc>
          <w:tcPr>
            <w:tcW w:type="dxa" w:w="3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AI-powered jury assignment</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4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Optimal matching of jury expertise to projects; balanced by human oversight</w:t>
            </w:r>
          </w:p>
        </w:tc>
      </w:tr>
      <w:tr>
        <w:tc>
          <w:tcPr>
            <w:tcW w:type="dxa" w:w="3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AI-powered mentor matching</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4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Effective mentor-project pairing; balanced by anonymisation</w:t>
            </w:r>
          </w:p>
        </w:tc>
      </w:tr>
      <w:tr>
        <w:tc>
          <w:tcPr>
            <w:tcW w:type="dxa" w:w="3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logging and monitoring</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4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Protection of Platform, users, and data from unauthorised access</w:t>
            </w:r>
          </w:p>
        </w:tc>
      </w:tr>
      <w:tr>
        <w:tc>
          <w:tcPr>
            <w:tcW w:type="dxa" w:w="3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Analytics (aggregated, anonymised)</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4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Understanding Platform usage to improve services</w:t>
            </w:r>
          </w:p>
        </w:tc>
      </w:tr>
      <w:tr>
        <w:tc>
          <w:tcPr>
            <w:tcW w:type="dxa" w:w="3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WhatsApp notifications</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Consent</w:t>
            </w:r>
          </w:p>
        </w:tc>
        <w:tc>
          <w:tcPr>
            <w:tcW w:type="dxa" w:w="4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Optional communication channel requiring explicit opt-in</w:t>
            </w:r>
          </w:p>
        </w:tc>
      </w:tr>
      <w:tr>
        <w:tc>
          <w:tcPr>
            <w:tcW w:type="dxa" w:w="3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Profile photograph</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Consent</w:t>
            </w:r>
          </w:p>
        </w:tc>
        <w:tc>
          <w:tcPr>
            <w:tcW w:type="dxa" w:w="4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Optional personalisation feature</w:t>
            </w:r>
          </w:p>
        </w:tc>
      </w:tr>
      <w:tr>
        <w:tc>
          <w:tcPr>
            <w:tcW w:type="dxa" w:w="3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Marketing communications</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Consent</w:t>
            </w:r>
          </w:p>
        </w:tc>
        <w:tc>
          <w:tcPr>
            <w:tcW w:type="dxa" w:w="4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Only with explicit opt-in consent</w:t>
            </w:r>
          </w:p>
        </w:tc>
      </w:tr>
    </w:tbl>
    <w:p>
      <w:pPr>
        <w:pStyle w:val="Heading2"/>
        <w:spacing w:before="280" w:after="160"/>
      </w:pPr>
      <w:r>
        <w:rPr>
          <w:rFonts w:ascii="Arial" w:cs="Arial" w:eastAsia="Arial" w:hAnsi="Arial"/>
          <w:b/>
          <w:bCs/>
          <w:color w:val="1B5E8A"/>
          <w:sz w:val="24"/>
          <w:szCs w:val="24"/>
        </w:rPr>
        <w:t xml:space="preserve">5.3 Legitimate Interests Assessment (LIA)</w:t>
      </w:r>
    </w:p>
    <w:p>
      <w:pPr>
        <w:spacing w:after="120" w:line="276"/>
      </w:pPr>
      <w:r>
        <w:rPr>
          <w:rFonts w:ascii="Arial" w:cs="Arial" w:eastAsia="Arial" w:hAnsi="Arial"/>
          <w:b w:val="false"/>
          <w:bCs w:val="false"/>
          <w:i w:val="false"/>
          <w:iCs w:val="false"/>
          <w:color w:val="2C3E50"/>
          <w:sz w:val="20"/>
          <w:szCs w:val="20"/>
        </w:rPr>
        <w:t xml:space="preserve">For processing based on legitimate interests, the following assessment has been conducted:</w:t>
      </w:r>
    </w:p>
    <w:p>
      <w:pPr>
        <w:spacing w:before="200" w:after="120"/>
      </w:pPr>
      <w:r>
        <w:rPr>
          <w:rFonts w:ascii="Arial" w:cs="Arial" w:eastAsia="Arial" w:hAnsi="Arial"/>
          <w:b/>
          <w:bCs/>
          <w:color w:val="1B5E8A"/>
          <w:sz w:val="22"/>
          <w:szCs w:val="22"/>
        </w:rPr>
        <w:t xml:space="preserve">AI-Powered Processing (Filtering, Assignment, Matching)</w:t>
      </w:r>
    </w:p>
    <w:p>
      <w:pPr>
        <w:spacing w:after="100" w:line="276"/>
      </w:pPr>
      <w:r>
        <w:rPr>
          <w:rFonts w:ascii="Arial" w:cs="Arial" w:eastAsia="Arial" w:hAnsi="Arial"/>
          <w:b/>
          <w:bCs/>
          <w:color w:val="1A1A2E"/>
          <w:sz w:val="20"/>
          <w:szCs w:val="20"/>
        </w:rPr>
        <w:t xml:space="preserve">Purpose: </w:t>
      </w:r>
      <w:r>
        <w:rPr>
          <w:rFonts w:ascii="Arial" w:cs="Arial" w:eastAsia="Arial" w:hAnsi="Arial"/>
          <w:color w:val="2C3E50"/>
          <w:sz w:val="20"/>
          <w:szCs w:val="20"/>
        </w:rPr>
        <w:t xml:space="preserve">Efficient evaluation of competition entries and optimal assignment of reviewers</w:t>
      </w:r>
    </w:p>
    <w:p>
      <w:pPr>
        <w:spacing w:after="100" w:line="276"/>
      </w:pPr>
      <w:r>
        <w:rPr>
          <w:rFonts w:ascii="Arial" w:cs="Arial" w:eastAsia="Arial" w:hAnsi="Arial"/>
          <w:b/>
          <w:bCs/>
          <w:color w:val="1A1A2E"/>
          <w:sz w:val="20"/>
          <w:szCs w:val="20"/>
        </w:rPr>
        <w:t xml:space="preserve">Legitimate Interest:</w:t>
      </w:r>
      <w:r>
        <w:rPr>
          <w:rFonts w:ascii="Arial" w:cs="Arial" w:eastAsia="Arial" w:hAnsi="Arial"/>
          <w:color w:val="2C3E50"/>
          <w:sz w:val="20"/>
          <w:szCs w:val="20"/>
        </w:rPr>
        <w:t xml:space="preserve"/>
      </w:r>
    </w:p>
    <w:p>
      <w:pPr>
        <w:pStyle w:val="ListParagraph"/>
        <w:numPr>
          <w:ilvl w:val="0"/>
          <w:numId w:val="3"/>
        </w:numPr>
        <w:spacing w:after="60" w:line="276"/>
      </w:pPr>
      <w:r>
        <w:rPr>
          <w:rFonts w:ascii="Arial" w:cs="Arial" w:eastAsia="Arial" w:hAnsi="Arial"/>
          <w:color w:val="2C3E50"/>
          <w:sz w:val="20"/>
          <w:szCs w:val="20"/>
        </w:rPr>
        <w:t xml:space="preserve">Organisational efficiency in processing large numbers of applications</w:t>
      </w:r>
    </w:p>
    <w:p>
      <w:pPr>
        <w:pStyle w:val="ListParagraph"/>
        <w:numPr>
          <w:ilvl w:val="0"/>
          <w:numId w:val="3"/>
        </w:numPr>
        <w:spacing w:after="60" w:line="276"/>
      </w:pPr>
      <w:r>
        <w:rPr>
          <w:rFonts w:ascii="Arial" w:cs="Arial" w:eastAsia="Arial" w:hAnsi="Arial"/>
          <w:color w:val="2C3E50"/>
          <w:sz w:val="20"/>
          <w:szCs w:val="20"/>
        </w:rPr>
        <w:t xml:space="preserve">Fairness in matching reviewer expertise to project topics</w:t>
      </w:r>
    </w:p>
    <w:p>
      <w:pPr>
        <w:pStyle w:val="ListParagraph"/>
        <w:numPr>
          <w:ilvl w:val="0"/>
          <w:numId w:val="3"/>
        </w:numPr>
        <w:spacing w:after="60" w:line="276"/>
      </w:pPr>
      <w:r>
        <w:rPr>
          <w:rFonts w:ascii="Arial" w:cs="Arial" w:eastAsia="Arial" w:hAnsi="Arial"/>
          <w:color w:val="2C3E50"/>
          <w:sz w:val="20"/>
          <w:szCs w:val="20"/>
        </w:rPr>
        <w:t xml:space="preserve">Cost-effective use of resources</w:t>
      </w:r>
    </w:p>
    <w:p>
      <w:pPr>
        <w:spacing w:after="100" w:line="276"/>
      </w:pPr>
      <w:r>
        <w:rPr>
          <w:rFonts w:ascii="Arial" w:cs="Arial" w:eastAsia="Arial" w:hAnsi="Arial"/>
          <w:b/>
          <w:bCs/>
          <w:color w:val="1A1A2E"/>
          <w:sz w:val="20"/>
          <w:szCs w:val="20"/>
        </w:rPr>
        <w:t xml:space="preserve">Necessity:</w:t>
      </w:r>
      <w:r>
        <w:rPr>
          <w:rFonts w:ascii="Arial" w:cs="Arial" w:eastAsia="Arial" w:hAnsi="Arial"/>
          <w:color w:val="2C3E50"/>
          <w:sz w:val="20"/>
          <w:szCs w:val="20"/>
        </w:rPr>
        <w:t xml:space="preserve"/>
      </w:r>
    </w:p>
    <w:p>
      <w:pPr>
        <w:pStyle w:val="ListParagraph"/>
        <w:numPr>
          <w:ilvl w:val="0"/>
          <w:numId w:val="3"/>
        </w:numPr>
        <w:spacing w:after="60" w:line="276"/>
      </w:pPr>
      <w:r>
        <w:rPr>
          <w:rFonts w:ascii="Arial" w:cs="Arial" w:eastAsia="Arial" w:hAnsi="Arial"/>
          <w:color w:val="2C3E50"/>
          <w:sz w:val="20"/>
          <w:szCs w:val="20"/>
        </w:rPr>
        <w:t xml:space="preserve">Manual processing of 100+ projects would be impractical</w:t>
      </w:r>
    </w:p>
    <w:p>
      <w:pPr>
        <w:pStyle w:val="ListParagraph"/>
        <w:numPr>
          <w:ilvl w:val="0"/>
          <w:numId w:val="3"/>
        </w:numPr>
        <w:spacing w:after="60" w:line="276"/>
      </w:pPr>
      <w:r>
        <w:rPr>
          <w:rFonts w:ascii="Arial" w:cs="Arial" w:eastAsia="Arial" w:hAnsi="Arial"/>
          <w:color w:val="2C3E50"/>
          <w:sz w:val="20"/>
          <w:szCs w:val="20"/>
        </w:rPr>
        <w:t xml:space="preserve">AI enables consistent, scalable evaluation support</w:t>
      </w:r>
    </w:p>
    <w:p>
      <w:pPr>
        <w:pStyle w:val="ListParagraph"/>
        <w:numPr>
          <w:ilvl w:val="0"/>
          <w:numId w:val="3"/>
        </w:numPr>
        <w:spacing w:after="60" w:line="276"/>
      </w:pPr>
      <w:r>
        <w:rPr>
          <w:rFonts w:ascii="Arial" w:cs="Arial" w:eastAsia="Arial" w:hAnsi="Arial"/>
          <w:color w:val="2C3E50"/>
          <w:sz w:val="20"/>
          <w:szCs w:val="20"/>
        </w:rPr>
        <w:t xml:space="preserve">Human decision-making remains final</w:t>
      </w:r>
    </w:p>
    <w:p>
      <w:pPr>
        <w:spacing w:after="100" w:line="276"/>
      </w:pPr>
      <w:r>
        <w:rPr>
          <w:rFonts w:ascii="Arial" w:cs="Arial" w:eastAsia="Arial" w:hAnsi="Arial"/>
          <w:b/>
          <w:bCs/>
          <w:color w:val="1A1A2E"/>
          <w:sz w:val="20"/>
          <w:szCs w:val="20"/>
        </w:rPr>
        <w:t xml:space="preserve">Balancing Test:</w:t>
      </w:r>
      <w:r>
        <w:rPr>
          <w:rFonts w:ascii="Arial" w:cs="Arial" w:eastAsia="Arial" w:hAnsi="Arial"/>
          <w:color w:val="2C3E50"/>
          <w:sz w:val="20"/>
          <w:szCs w:val="20"/>
        </w:rPr>
        <w:t xml:space="preserve"/>
      </w:r>
    </w:p>
    <w:p>
      <w:pPr>
        <w:pStyle w:val="ListParagraph"/>
        <w:numPr>
          <w:ilvl w:val="0"/>
          <w:numId w:val="3"/>
        </w:numPr>
        <w:spacing w:after="60" w:line="276"/>
      </w:pPr>
      <w:r>
        <w:rPr>
          <w:rFonts w:ascii="Arial" w:cs="Arial" w:eastAsia="Arial" w:hAnsi="Arial"/>
          <w:b/>
          <w:bCs/>
          <w:color w:val="1A1A2E"/>
          <w:sz w:val="20"/>
          <w:szCs w:val="20"/>
        </w:rPr>
        <w:t xml:space="preserve">Risk to data subjects: </w:t>
      </w:r>
      <w:r>
        <w:rPr>
          <w:rFonts w:ascii="Arial" w:cs="Arial" w:eastAsia="Arial" w:hAnsi="Arial"/>
          <w:color w:val="2C3E50"/>
          <w:sz w:val="20"/>
          <w:szCs w:val="20"/>
        </w:rPr>
        <w:t xml:space="preserve">Minimal – all data is anonymised before AI processing</w:t>
      </w:r>
    </w:p>
    <w:p>
      <w:pPr>
        <w:pStyle w:val="ListParagraph"/>
        <w:numPr>
          <w:ilvl w:val="0"/>
          <w:numId w:val="3"/>
        </w:numPr>
        <w:spacing w:after="60" w:line="276"/>
      </w:pPr>
      <w:r>
        <w:rPr>
          <w:rFonts w:ascii="Arial" w:cs="Arial" w:eastAsia="Arial" w:hAnsi="Arial"/>
          <w:b/>
          <w:bCs/>
          <w:color w:val="1A1A2E"/>
          <w:sz w:val="20"/>
          <w:szCs w:val="20"/>
        </w:rPr>
        <w:t xml:space="preserve">Expectations: </w:t>
      </w:r>
      <w:r>
        <w:rPr>
          <w:rFonts w:ascii="Arial" w:cs="Arial" w:eastAsia="Arial" w:hAnsi="Arial"/>
          <w:color w:val="2C3E50"/>
          <w:sz w:val="20"/>
          <w:szCs w:val="20"/>
        </w:rPr>
        <w:t xml:space="preserve">Participants expect efficient, fair evaluation processes</w:t>
      </w:r>
    </w:p>
    <w:p>
      <w:pPr>
        <w:pStyle w:val="ListParagraph"/>
        <w:numPr>
          <w:ilvl w:val="0"/>
          <w:numId w:val="3"/>
        </w:numPr>
        <w:spacing w:after="60" w:line="276"/>
      </w:pPr>
      <w:r>
        <w:rPr>
          <w:rFonts w:ascii="Arial" w:cs="Arial" w:eastAsia="Arial" w:hAnsi="Arial"/>
          <w:b/>
          <w:bCs/>
          <w:color w:val="1A1A2E"/>
          <w:sz w:val="20"/>
          <w:szCs w:val="20"/>
        </w:rPr>
        <w:t xml:space="preserve">Safeguards: </w:t>
      </w:r>
      <w:r>
        <w:rPr>
          <w:rFonts w:ascii="Arial" w:cs="Arial" w:eastAsia="Arial" w:hAnsi="Arial"/>
          <w:color w:val="2C3E50"/>
          <w:sz w:val="20"/>
          <w:szCs w:val="20"/>
        </w:rPr>
        <w:t xml:space="preserve">Anonymisation, human oversight, algorithmic fallback, audit logging</w:t>
      </w:r>
    </w:p>
    <w:p>
      <w:pPr>
        <w:pStyle w:val="ListParagraph"/>
        <w:numPr>
          <w:ilvl w:val="0"/>
          <w:numId w:val="3"/>
        </w:numPr>
        <w:spacing w:after="60" w:line="276"/>
      </w:pPr>
      <w:r>
        <w:rPr>
          <w:rFonts w:ascii="Arial" w:cs="Arial" w:eastAsia="Arial" w:hAnsi="Arial"/>
          <w:b/>
          <w:bCs/>
          <w:color w:val="1A1A2E"/>
          <w:sz w:val="20"/>
          <w:szCs w:val="20"/>
        </w:rPr>
        <w:t xml:space="preserve">Conclusion: </w:t>
      </w:r>
      <w:r>
        <w:rPr>
          <w:rFonts w:ascii="Arial" w:cs="Arial" w:eastAsia="Arial" w:hAnsi="Arial"/>
          <w:color w:val="2C3E50"/>
          <w:sz w:val="20"/>
          <w:szCs w:val="20"/>
        </w:rPr>
        <w:t xml:space="preserve">Processing is proportionate; legitimate interests are not overridden</w:t>
      </w:r>
    </w:p>
    <w:p>
      <w:pPr>
        <w:spacing w:before="200" w:after="120"/>
      </w:pPr>
      <w:r>
        <w:rPr>
          <w:rFonts w:ascii="Arial" w:cs="Arial" w:eastAsia="Arial" w:hAnsi="Arial"/>
          <w:b/>
          <w:bCs/>
          <w:color w:val="1B5E8A"/>
          <w:sz w:val="22"/>
          <w:szCs w:val="22"/>
        </w:rPr>
        <w:t xml:space="preserve">Security Logging</w:t>
      </w:r>
    </w:p>
    <w:p>
      <w:pPr>
        <w:spacing w:after="100" w:line="276"/>
      </w:pPr>
      <w:r>
        <w:rPr>
          <w:rFonts w:ascii="Arial" w:cs="Arial" w:eastAsia="Arial" w:hAnsi="Arial"/>
          <w:b/>
          <w:bCs/>
          <w:color w:val="1A1A2E"/>
          <w:sz w:val="20"/>
          <w:szCs w:val="20"/>
        </w:rPr>
        <w:t xml:space="preserve">Purpose: </w:t>
      </w:r>
      <w:r>
        <w:rPr>
          <w:rFonts w:ascii="Arial" w:cs="Arial" w:eastAsia="Arial" w:hAnsi="Arial"/>
          <w:color w:val="2C3E50"/>
          <w:sz w:val="20"/>
          <w:szCs w:val="20"/>
        </w:rPr>
        <w:t xml:space="preserve">Protection of Platform and user data</w:t>
      </w:r>
    </w:p>
    <w:p>
      <w:pPr>
        <w:spacing w:after="100" w:line="276"/>
      </w:pPr>
      <w:r>
        <w:rPr>
          <w:rFonts w:ascii="Arial" w:cs="Arial" w:eastAsia="Arial" w:hAnsi="Arial"/>
          <w:b/>
          <w:bCs/>
          <w:color w:val="1A1A2E"/>
          <w:sz w:val="20"/>
          <w:szCs w:val="20"/>
        </w:rPr>
        <w:t xml:space="preserve">Balancing Test:</w:t>
      </w:r>
      <w:r>
        <w:rPr>
          <w:rFonts w:ascii="Arial" w:cs="Arial" w:eastAsia="Arial" w:hAnsi="Arial"/>
          <w:color w:val="2C3E50"/>
          <w:sz w:val="20"/>
          <w:szCs w:val="20"/>
        </w:rPr>
        <w:t xml:space="preserve"/>
      </w:r>
    </w:p>
    <w:p>
      <w:pPr>
        <w:pStyle w:val="ListParagraph"/>
        <w:numPr>
          <w:ilvl w:val="0"/>
          <w:numId w:val="3"/>
        </w:numPr>
        <w:spacing w:after="60" w:line="276"/>
      </w:pPr>
      <w:r>
        <w:rPr>
          <w:rFonts w:ascii="Arial" w:cs="Arial" w:eastAsia="Arial" w:hAnsi="Arial"/>
          <w:b/>
          <w:bCs/>
          <w:color w:val="1A1A2E"/>
          <w:sz w:val="20"/>
          <w:szCs w:val="20"/>
        </w:rPr>
        <w:t xml:space="preserve">Risk to data subjects: </w:t>
      </w:r>
      <w:r>
        <w:rPr>
          <w:rFonts w:ascii="Arial" w:cs="Arial" w:eastAsia="Arial" w:hAnsi="Arial"/>
          <w:color w:val="2C3E50"/>
          <w:sz w:val="20"/>
          <w:szCs w:val="20"/>
        </w:rPr>
        <w:t xml:space="preserve">Low – logs contain minimal personal data (IP, user agent)</w:t>
      </w:r>
    </w:p>
    <w:p>
      <w:pPr>
        <w:pStyle w:val="ListParagraph"/>
        <w:numPr>
          <w:ilvl w:val="0"/>
          <w:numId w:val="3"/>
        </w:numPr>
        <w:spacing w:after="60" w:line="276"/>
      </w:pPr>
      <w:r>
        <w:rPr>
          <w:rFonts w:ascii="Arial" w:cs="Arial" w:eastAsia="Arial" w:hAnsi="Arial"/>
          <w:b/>
          <w:bCs/>
          <w:color w:val="1A1A2E"/>
          <w:sz w:val="20"/>
          <w:szCs w:val="20"/>
        </w:rPr>
        <w:t xml:space="preserve">Expectations: </w:t>
      </w:r>
      <w:r>
        <w:rPr>
          <w:rFonts w:ascii="Arial" w:cs="Arial" w:eastAsia="Arial" w:hAnsi="Arial"/>
          <w:color w:val="2C3E50"/>
          <w:sz w:val="20"/>
          <w:szCs w:val="20"/>
        </w:rPr>
        <w:t xml:space="preserve">Users expect secure platforms</w:t>
      </w:r>
    </w:p>
    <w:p>
      <w:pPr>
        <w:pStyle w:val="ListParagraph"/>
        <w:numPr>
          <w:ilvl w:val="0"/>
          <w:numId w:val="3"/>
        </w:numPr>
        <w:spacing w:after="60" w:line="276"/>
      </w:pPr>
      <w:r>
        <w:rPr>
          <w:rFonts w:ascii="Arial" w:cs="Arial" w:eastAsia="Arial" w:hAnsi="Arial"/>
          <w:b/>
          <w:bCs/>
          <w:color w:val="1A1A2E"/>
          <w:sz w:val="20"/>
          <w:szCs w:val="20"/>
        </w:rPr>
        <w:t xml:space="preserve">Safeguards: </w:t>
      </w:r>
      <w:r>
        <w:rPr>
          <w:rFonts w:ascii="Arial" w:cs="Arial" w:eastAsia="Arial" w:hAnsi="Arial"/>
          <w:color w:val="2C3E50"/>
          <w:sz w:val="20"/>
          <w:szCs w:val="20"/>
        </w:rPr>
        <w:t xml:space="preserve">Limited retention (12 months), access controls, encryption</w:t>
      </w:r>
    </w:p>
    <w:p>
      <w:pPr>
        <w:pStyle w:val="ListParagraph"/>
        <w:numPr>
          <w:ilvl w:val="0"/>
          <w:numId w:val="3"/>
        </w:numPr>
        <w:spacing w:after="60" w:line="276"/>
      </w:pPr>
      <w:r>
        <w:rPr>
          <w:rFonts w:ascii="Arial" w:cs="Arial" w:eastAsia="Arial" w:hAnsi="Arial"/>
          <w:b/>
          <w:bCs/>
          <w:color w:val="1A1A2E"/>
          <w:sz w:val="20"/>
          <w:szCs w:val="20"/>
        </w:rPr>
        <w:t xml:space="preserve">Conclusion: </w:t>
      </w:r>
      <w:r>
        <w:rPr>
          <w:rFonts w:ascii="Arial" w:cs="Arial" w:eastAsia="Arial" w:hAnsi="Arial"/>
          <w:color w:val="2C3E50"/>
          <w:sz w:val="20"/>
          <w:szCs w:val="20"/>
        </w:rPr>
        <w:t xml:space="preserve">Processing is proportionate and expected</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6. Data Processing Purposes</w:t>
      </w:r>
    </w:p>
    <w:p>
      <w:pPr>
        <w:pStyle w:val="Heading2"/>
        <w:spacing w:before="280" w:after="160"/>
      </w:pPr>
      <w:r>
        <w:rPr>
          <w:rFonts w:ascii="Arial" w:cs="Arial" w:eastAsia="Arial" w:hAnsi="Arial"/>
          <w:b/>
          <w:bCs/>
          <w:color w:val="1B5E8A"/>
          <w:sz w:val="24"/>
          <w:szCs w:val="24"/>
        </w:rPr>
        <w:t xml:space="preserve">6.1 Primary Purposes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560"/>
        <w:gridCol w:w="240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c>
          <w:tcPr>
            <w:tcW w:type="dxa" w:w="45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Description</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Categories Used</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Competition Management</w:t>
            </w:r>
          </w:p>
        </w:tc>
        <w:tc>
          <w:tcPr>
            <w:tcW w:type="dxa" w:w="4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Managing the full lifecycle of the Monaco Ocean Protection Challenge, including project submissions, evaluations, and results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accounts, project data, evaluation data</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Authentication</w:t>
            </w:r>
          </w:p>
        </w:tc>
        <w:tc>
          <w:tcPr>
            <w:tcW w:type="dxa" w:w="4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Verifying user identity and managing secure access to the Platform</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Email, password hash, session tokens, magic links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Communication</w:t>
            </w:r>
          </w:p>
        </w:tc>
        <w:tc>
          <w:tcPr>
            <w:tcW w:type="dxa" w:w="4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Sending essential notifications about submissions, deadlines, evaluation status, and results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Email, name, notification preferences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Evaluation Processing</w:t>
            </w:r>
          </w:p>
        </w:tc>
        <w:tc>
          <w:tcPr>
            <w:tcW w:type="dxa" w:w="4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Enabling jury members to review and score assigned projects</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data, evaluation data, jury assignments</w:t>
            </w:r>
          </w:p>
        </w:tc>
      </w:tr>
    </w:tbl>
    <w:p>
      <w:pPr>
        <w:pStyle w:val="Heading2"/>
        <w:spacing w:before="280" w:after="160"/>
      </w:pPr>
      <w:r>
        <w:rPr>
          <w:rFonts w:ascii="Arial" w:cs="Arial" w:eastAsia="Arial" w:hAnsi="Arial"/>
          <w:b/>
          <w:bCs/>
          <w:color w:val="1B5E8A"/>
          <w:sz w:val="24"/>
          <w:szCs w:val="24"/>
        </w:rPr>
        <w:t xml:space="preserve">6.2 Secondary Purposes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2200"/>
        <w:gridCol w:w="1960"/>
      </w:tblGrid>
      <w:tr>
        <w:trPr>
          <w:tblHeader/>
        </w:trPr>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c>
          <w:tcPr>
            <w:tcW w:type="dxa" w:w="3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Description</w:t>
            </w:r>
          </w:p>
        </w:tc>
        <w:tc>
          <w:tcPr>
            <w:tcW w:type="dxa" w:w="2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Categories Used</w:t>
            </w:r>
          </w:p>
        </w:tc>
        <w:tc>
          <w:tcPr>
            <w:tcW w:type="dxa" w:w="1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Legal Basis</w:t>
            </w:r>
          </w:p>
        </w:tc>
      </w:tr>
      <w:tr>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AI-Assisted Processing</w:t>
            </w:r>
          </w:p>
        </w:tc>
        <w:tc>
          <w:tcPr>
            <w:tcW w:type="dxa" w:w="3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Using AI to filter projects, suggest jury assignments, determine award eligibility, and match mentors</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project data only</w:t>
            </w:r>
          </w:p>
        </w:tc>
        <w:tc>
          <w:tcPr>
            <w:tcW w:type="dxa" w:w="1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r>
      <w:tr>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Platform Security</w:t>
            </w:r>
          </w:p>
        </w:tc>
        <w:tc>
          <w:tcPr>
            <w:tcW w:type="dxa" w:w="3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Monitoring for security threats, preventing abuse, investigating incidents</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IP addresses, user agents, audit logs</w:t>
            </w:r>
          </w:p>
        </w:tc>
        <w:tc>
          <w:tcPr>
            <w:tcW w:type="dxa" w:w="1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r>
      <w:tr>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Service Improvement</w:t>
            </w:r>
          </w:p>
        </w:tc>
        <w:tc>
          <w:tcPr>
            <w:tcW w:type="dxa" w:w="3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Analysing aggregated, anonymised usage patterns to improve the Platform</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Aggregated analytics</w:t>
            </w:r>
          </w:p>
        </w:tc>
        <w:tc>
          <w:tcPr>
            <w:tcW w:type="dxa" w:w="1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r>
      <w:tr>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Legal Compliance</w:t>
            </w:r>
          </w:p>
        </w:tc>
        <w:tc>
          <w:tcPr>
            <w:tcW w:type="dxa" w:w="3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Maintaining records as required by law</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Varies by requirement</w:t>
            </w:r>
          </w:p>
        </w:tc>
        <w:tc>
          <w:tcPr>
            <w:tcW w:type="dxa" w:w="1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Legal Obligation</w:t>
            </w:r>
          </w:p>
        </w:tc>
      </w:tr>
    </w:tbl>
    <w:p>
      <w:pPr>
        <w:pStyle w:val="Heading2"/>
        <w:spacing w:before="280" w:after="160"/>
      </w:pPr>
      <w:r>
        <w:rPr>
          <w:rFonts w:ascii="Arial" w:cs="Arial" w:eastAsia="Arial" w:hAnsi="Arial"/>
          <w:b/>
          <w:bCs/>
          <w:color w:val="1B5E8A"/>
          <w:sz w:val="24"/>
          <w:szCs w:val="24"/>
        </w:rPr>
        <w:t xml:space="preserve">6.3 Purpose Limitation</w:t>
      </w:r>
    </w:p>
    <w:p>
      <w:pPr>
        <w:spacing w:after="120" w:line="276"/>
      </w:pPr>
      <w:r>
        <w:rPr>
          <w:rFonts w:ascii="Arial" w:cs="Arial" w:eastAsia="Arial" w:hAnsi="Arial"/>
          <w:b w:val="false"/>
          <w:bCs w:val="false"/>
          <w:i w:val="false"/>
          <w:iCs w:val="false"/>
          <w:color w:val="2C3E50"/>
          <w:sz w:val="20"/>
          <w:szCs w:val="20"/>
        </w:rPr>
        <w:t xml:space="preserve">Personal data collected for the above purposes will not be processed in a manner incompatible with those purposes. Any new processing activity will be assessed for compatibility and, if necessary, additional consent or other legal basis will be obtained.</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7. Data Subject Categories</w:t>
      </w:r>
    </w:p>
    <w:p>
      <w:pPr>
        <w:pStyle w:val="Heading2"/>
        <w:spacing w:before="280" w:after="160"/>
      </w:pPr>
      <w:r>
        <w:rPr>
          <w:rFonts w:ascii="Arial" w:cs="Arial" w:eastAsia="Arial" w:hAnsi="Arial"/>
          <w:b/>
          <w:bCs/>
          <w:color w:val="1B5E8A"/>
          <w:sz w:val="24"/>
          <w:szCs w:val="24"/>
        </w:rPr>
        <w:t xml:space="preserve">7.1 Categories of Data Subjects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000"/>
        <w:gridCol w:w="29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Category</w:t>
            </w:r>
          </w:p>
        </w:tc>
        <w:tc>
          <w:tcPr>
            <w:tcW w:type="dxa" w:w="4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Description</w:t>
            </w:r>
          </w:p>
        </w:tc>
        <w:tc>
          <w:tcPr>
            <w:tcW w:type="dxa" w:w="2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Typical Data Processed</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Competition Applicants</w:t>
            </w:r>
          </w:p>
        </w:tc>
        <w:tc>
          <w:tcPr>
            <w:tcW w:type="dxa" w:w="4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Individuals or teams submitting projects to the Competition</w:t>
            </w:r>
          </w:p>
        </w:tc>
        <w:tc>
          <w:tcPr>
            <w:tcW w:type="dxa" w:w="2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Full account and project data</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Members</w:t>
            </w:r>
          </w:p>
        </w:tc>
        <w:tc>
          <w:tcPr>
            <w:tcW w:type="dxa" w:w="4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Individuals listed as members of applicant teams</w:t>
            </w:r>
          </w:p>
        </w:tc>
        <w:tc>
          <w:tcPr>
            <w:tcW w:type="dxa" w:w="2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Name, email, role</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Jury Members</w:t>
            </w:r>
          </w:p>
        </w:tc>
        <w:tc>
          <w:tcPr>
            <w:tcW w:type="dxa" w:w="4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Experts appointed to evaluate Competition entries</w:t>
            </w:r>
          </w:p>
        </w:tc>
        <w:tc>
          <w:tcPr>
            <w:tcW w:type="dxa" w:w="2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Account data, evaluation data, expertise tags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Mentors</w:t>
            </w:r>
          </w:p>
        </w:tc>
        <w:tc>
          <w:tcPr>
            <w:tcW w:type="dxa" w:w="4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Professionals providing guidance to selected projects</w:t>
            </w:r>
          </w:p>
        </w:tc>
        <w:tc>
          <w:tcPr>
            <w:tcW w:type="dxa" w:w="2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Account data, expertise tags, assignments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Observers</w:t>
            </w:r>
          </w:p>
        </w:tc>
        <w:tc>
          <w:tcPr>
            <w:tcW w:type="dxa" w:w="4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Stakeholders with read-only access to dashboards</w:t>
            </w:r>
          </w:p>
        </w:tc>
        <w:tc>
          <w:tcPr>
            <w:tcW w:type="dxa" w:w="2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Account data, access logs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Administrators</w:t>
            </w:r>
          </w:p>
        </w:tc>
        <w:tc>
          <w:tcPr>
            <w:tcW w:type="dxa" w:w="4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Staff managing the Platform and Competition</w:t>
            </w:r>
          </w:p>
        </w:tc>
        <w:tc>
          <w:tcPr>
            <w:tcW w:type="dxa" w:w="2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Account data, audit logs, full system access</w:t>
            </w:r>
          </w:p>
        </w:tc>
      </w:tr>
    </w:tbl>
    <w:p>
      <w:pPr>
        <w:pStyle w:val="Heading2"/>
        <w:spacing w:before="280" w:after="160"/>
      </w:pPr>
      <w:r>
        <w:rPr>
          <w:rFonts w:ascii="Arial" w:cs="Arial" w:eastAsia="Arial" w:hAnsi="Arial"/>
          <w:b/>
          <w:bCs/>
          <w:color w:val="1B5E8A"/>
          <w:sz w:val="24"/>
          <w:szCs w:val="24"/>
        </w:rPr>
        <w:t xml:space="preserve">7.2 Estimated Data Subject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Category</w:t>
            </w:r>
          </w:p>
        </w:tc>
        <w:tc>
          <w:tcPr>
            <w:tcW w:type="dxa" w:w="468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Estimated Annual Volume</w:t>
            </w:r>
          </w:p>
        </w:tc>
      </w:tr>
      <w:tr>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Competition Applicants</w:t>
            </w:r>
          </w:p>
        </w:tc>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100–200 projects</w:t>
            </w:r>
          </w:p>
        </w:tc>
      </w:tr>
      <w:tr>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Members</w:t>
            </w:r>
          </w:p>
        </w:tc>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300–600 individuals</w:t>
            </w:r>
          </w:p>
        </w:tc>
      </w:tr>
      <w:tr>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Jury Members</w:t>
            </w:r>
          </w:p>
        </w:tc>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50–100 individuals</w:t>
            </w:r>
          </w:p>
        </w:tc>
      </w:tr>
      <w:tr>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Mentors</w:t>
            </w:r>
          </w:p>
        </w:tc>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20–50 individuals</w:t>
            </w:r>
          </w:p>
        </w:tc>
      </w:tr>
      <w:tr>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Observers</w:t>
            </w:r>
          </w:p>
        </w:tc>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10–30 individuals</w:t>
            </w:r>
          </w:p>
        </w:tc>
      </w:tr>
      <w:tr>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Administrators</w:t>
            </w:r>
          </w:p>
        </w:tc>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5–15 individuals</w:t>
            </w:r>
          </w:p>
        </w:tc>
      </w:tr>
    </w:tbl>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8. Third-Party Data Sharing &amp; Subprocessors</w:t>
      </w:r>
    </w:p>
    <w:p>
      <w:pPr>
        <w:pStyle w:val="Heading2"/>
        <w:spacing w:before="280" w:after="160"/>
      </w:pPr>
      <w:r>
        <w:rPr>
          <w:rFonts w:ascii="Arial" w:cs="Arial" w:eastAsia="Arial" w:hAnsi="Arial"/>
          <w:b/>
          <w:bCs/>
          <w:color w:val="1B5E8A"/>
          <w:sz w:val="24"/>
          <w:szCs w:val="24"/>
        </w:rPr>
        <w:t xml:space="preserve">8.1 Categories of Recipients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800"/>
        <w:gridCol w:w="1960"/>
      </w:tblGrid>
      <w:tr>
        <w:trPr>
          <w:tblHeader/>
        </w:trPr>
        <w:tc>
          <w:tcPr>
            <w:tcW w:type="dxa" w:w="2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Recipient Category</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Shared</w:t>
            </w:r>
          </w:p>
        </w:tc>
        <w:tc>
          <w:tcPr>
            <w:tcW w:type="dxa" w:w="1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Legal Basis</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Joint Controllers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Competition organisation</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All competition-related data</w:t>
            </w:r>
          </w:p>
        </w:tc>
        <w:tc>
          <w:tcPr>
            <w:tcW w:type="dxa" w:w="1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 Performance</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IT Infrastructure Providers</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Platform hosting and operation</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All Platform data (encrypted at rest)</w:t>
            </w:r>
          </w:p>
        </w:tc>
        <w:tc>
          <w:tcPr>
            <w:tcW w:type="dxa" w:w="1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 Performance</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Service Providers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Automated processing assistance</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project data only</w:t>
            </w:r>
          </w:p>
        </w:tc>
        <w:tc>
          <w:tcPr>
            <w:tcW w:type="dxa" w:w="1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r>
    </w:tbl>
    <w:p>
      <w:pPr>
        <w:pStyle w:val="Heading2"/>
        <w:spacing w:before="280" w:after="160"/>
      </w:pPr>
      <w:r>
        <w:rPr>
          <w:rFonts w:ascii="Arial" w:cs="Arial" w:eastAsia="Arial" w:hAnsi="Arial"/>
          <w:b/>
          <w:bCs/>
          <w:color w:val="1B5E8A"/>
          <w:sz w:val="24"/>
          <w:szCs w:val="24"/>
        </w:rPr>
        <w:t xml:space="preserve">8.2 Subprocessor Registry</w:t>
      </w:r>
    </w:p>
    <w:p>
      <w:pPr>
        <w:spacing w:before="200" w:after="120"/>
      </w:pPr>
      <w:r>
        <w:rPr>
          <w:rFonts w:ascii="Arial" w:cs="Arial" w:eastAsia="Arial" w:hAnsi="Arial"/>
          <w:b/>
          <w:bCs/>
          <w:color w:val="1B5E8A"/>
          <w:sz w:val="22"/>
          <w:szCs w:val="22"/>
        </w:rPr>
        <w:t xml:space="preserve">8.2.1 OpenAI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Field</w:t>
            </w:r>
          </w:p>
        </w:tc>
        <w:tc>
          <w:tcPr>
            <w:tcW w:type="dxa" w:w="67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Details</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Subprocessor</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Inc. (OpenAI Ireland Limited for EU data)</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Registered Address</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3180 18th Street, San Francisco, CA 94110, USA</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EU Entity</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Ireland Limited</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Purpose</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AI-powered project filtering, jury assignment suggestions, award eligibility determination, mentor matching</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Processed</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data only – No personal identifiers are transmitted</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Location</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European Union (Ireland) – using EU data residency feature</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Retention</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Zero Data Retention (ZDR) – data not stored at rest</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Certifications</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SOC 2 Type 2, ISO/IEC 27001, 27017, 27018, 27701</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DPA Status</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Data Processing Addendum available; EU Standard Contractual Clauses</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Training Opt-Out</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API data is not used for model training by default</w:t>
            </w:r>
          </w:p>
        </w:tc>
      </w:tr>
    </w:tbl>
    <w:p>
      <w:pPr>
        <w:spacing w:after="120" w:line="276"/>
      </w:pPr>
      <w:r>
        <w:rPr>
          <w:rFonts w:ascii="Arial" w:cs="Arial" w:eastAsia="Arial" w:hAnsi="Arial"/>
          <w:b w:val="false"/>
          <w:bCs w:val="false"/>
          <w:i/>
          <w:iCs/>
          <w:color w:val="2C3E50"/>
          <w:sz w:val="20"/>
          <w:szCs w:val="20"/>
        </w:rPr>
        <w:t xml:space="preserve">Important: Only anonymised data is sent to OpenAI. Personal identifiers (names, emails, phone numbers, addresses, URLs) are stripped before transmission. Project IDs are replaced with sequential anonymous identifiers (P1, P2, etc.). See the AI Data Processing companion document for complete details.</w:t>
      </w:r>
    </w:p>
    <w:p>
      <w:pPr>
        <w:spacing w:before="200" w:after="120"/>
      </w:pPr>
      <w:r>
        <w:rPr>
          <w:rFonts w:ascii="Arial" w:cs="Arial" w:eastAsia="Arial" w:hAnsi="Arial"/>
          <w:b/>
          <w:bCs/>
          <w:color w:val="1B5E8A"/>
          <w:sz w:val="22"/>
          <w:szCs w:val="22"/>
        </w:rPr>
        <w:t xml:space="preserve">8.2.2 Self-Hosted Services</w:t>
      </w:r>
    </w:p>
    <w:p>
      <w:pPr>
        <w:spacing w:after="120" w:line="276"/>
      </w:pPr>
      <w:r>
        <w:rPr>
          <w:rFonts w:ascii="Arial" w:cs="Arial" w:eastAsia="Arial" w:hAnsi="Arial"/>
          <w:b w:val="false"/>
          <w:bCs w:val="false"/>
          <w:i w:val="false"/>
          <w:iCs w:val="false"/>
          <w:color w:val="2C3E50"/>
          <w:sz w:val="20"/>
          <w:szCs w:val="20"/>
        </w:rPr>
        <w:t xml:space="preserve">The following services are self-hosted on the Platform’s infrastructure and do not involve third-party data processors: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600"/>
        <w:gridCol w:w="2960"/>
      </w:tblGrid>
      <w:tr>
        <w:trPr>
          <w:tblHeader/>
        </w:trPr>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Service</w:t>
            </w:r>
          </w:p>
        </w:tc>
        <w:tc>
          <w:tcPr>
            <w:tcW w:type="dxa" w:w="3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c>
          <w:tcPr>
            <w:tcW w:type="dxa" w:w="2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Hosting Location</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PostgreSQL Database</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Primary data storage</w:t>
            </w:r>
          </w:p>
        </w:tc>
        <w:tc>
          <w:tcPr>
            <w:tcW w:type="dxa" w:w="2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Austria, EU (Private VPS)</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MinIO Object Storage</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File storage (uploads, documents)</w:t>
            </w:r>
          </w:p>
        </w:tc>
        <w:tc>
          <w:tcPr>
            <w:tcW w:type="dxa" w:w="2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Austria, EU (Private VPS)</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Poste.io Email Server</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Transactional email delivery</w:t>
            </w:r>
          </w:p>
        </w:tc>
        <w:tc>
          <w:tcPr>
            <w:tcW w:type="dxa" w:w="2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Austria, EU (Private VPS)</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Nginx Reverse Proxy</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Web traffic management, SSL termination</w:t>
            </w:r>
          </w:p>
        </w:tc>
        <w:tc>
          <w:tcPr>
            <w:tcW w:type="dxa" w:w="2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Austria, EU (Private VPS)</w:t>
            </w:r>
          </w:p>
        </w:tc>
      </w:tr>
    </w:tbl>
    <w:p>
      <w:pPr>
        <w:pStyle w:val="Heading2"/>
        <w:spacing w:before="280" w:after="160"/>
      </w:pPr>
      <w:r>
        <w:rPr>
          <w:rFonts w:ascii="Arial" w:cs="Arial" w:eastAsia="Arial" w:hAnsi="Arial"/>
          <w:b/>
          <w:bCs/>
          <w:color w:val="1B5E8A"/>
          <w:sz w:val="24"/>
          <w:szCs w:val="24"/>
        </w:rPr>
        <w:t xml:space="preserve">8.3 Subprocessor Due Diligence</w:t>
      </w:r>
    </w:p>
    <w:p>
      <w:pPr>
        <w:spacing w:after="120" w:line="276"/>
      </w:pPr>
      <w:r>
        <w:rPr>
          <w:rFonts w:ascii="Arial" w:cs="Arial" w:eastAsia="Arial" w:hAnsi="Arial"/>
          <w:b w:val="false"/>
          <w:bCs w:val="false"/>
          <w:i w:val="false"/>
          <w:iCs w:val="false"/>
          <w:color w:val="2C3E50"/>
          <w:sz w:val="20"/>
          <w:szCs w:val="20"/>
        </w:rPr>
        <w:t xml:space="preserve">Before engaging any subprocessor, the following assessments are conducted:</w:t>
      </w:r>
    </w:p>
    <w:p>
      <w:pPr>
        <w:pStyle w:val="ListParagraph"/>
        <w:numPr>
          <w:ilvl w:val="0"/>
          <w:numId w:val="9"/>
        </w:numPr>
        <w:spacing w:after="60" w:line="276"/>
      </w:pPr>
      <w:r>
        <w:rPr>
          <w:rFonts w:ascii="Arial" w:cs="Arial" w:eastAsia="Arial" w:hAnsi="Arial"/>
          <w:color w:val="2C3E50"/>
          <w:sz w:val="20"/>
          <w:szCs w:val="20"/>
        </w:rPr>
        <w:t xml:space="preserve">Security Assessment – Review of security certifications and practices</w:t>
      </w:r>
    </w:p>
    <w:p>
      <w:pPr>
        <w:pStyle w:val="ListParagraph"/>
        <w:numPr>
          <w:ilvl w:val="0"/>
          <w:numId w:val="9"/>
        </w:numPr>
        <w:spacing w:after="60" w:line="276"/>
      </w:pPr>
      <w:r>
        <w:rPr>
          <w:rFonts w:ascii="Arial" w:cs="Arial" w:eastAsia="Arial" w:hAnsi="Arial"/>
          <w:color w:val="2C3E50"/>
          <w:sz w:val="20"/>
          <w:szCs w:val="20"/>
        </w:rPr>
        <w:t xml:space="preserve">Privacy Assessment – Review of privacy policy and data handling practices</w:t>
      </w:r>
    </w:p>
    <w:p>
      <w:pPr>
        <w:pStyle w:val="ListParagraph"/>
        <w:numPr>
          <w:ilvl w:val="0"/>
          <w:numId w:val="9"/>
        </w:numPr>
        <w:spacing w:after="60" w:line="276"/>
      </w:pPr>
      <w:r>
        <w:rPr>
          <w:rFonts w:ascii="Arial" w:cs="Arial" w:eastAsia="Arial" w:hAnsi="Arial"/>
          <w:color w:val="2C3E50"/>
          <w:sz w:val="20"/>
          <w:szCs w:val="20"/>
        </w:rPr>
        <w:t xml:space="preserve">Contractual Review – Execution of Data Processing Agreement with GDPR-compliant terms</w:t>
      </w:r>
    </w:p>
    <w:p>
      <w:pPr>
        <w:pStyle w:val="ListParagraph"/>
        <w:numPr>
          <w:ilvl w:val="0"/>
          <w:numId w:val="9"/>
        </w:numPr>
        <w:spacing w:after="60" w:line="276"/>
      </w:pPr>
      <w:r>
        <w:rPr>
          <w:rFonts w:ascii="Arial" w:cs="Arial" w:eastAsia="Arial" w:hAnsi="Arial"/>
          <w:color w:val="2C3E50"/>
          <w:sz w:val="20"/>
          <w:szCs w:val="20"/>
        </w:rPr>
        <w:t xml:space="preserve">Technical Assessment – Verification of encryption, access controls, and data protection measures</w:t>
      </w:r>
    </w:p>
    <w:p>
      <w:pPr>
        <w:pStyle w:val="Heading2"/>
        <w:spacing w:before="280" w:after="160"/>
      </w:pPr>
      <w:r>
        <w:rPr>
          <w:rFonts w:ascii="Arial" w:cs="Arial" w:eastAsia="Arial" w:hAnsi="Arial"/>
          <w:b/>
          <w:bCs/>
          <w:color w:val="1B5E8A"/>
          <w:sz w:val="24"/>
          <w:szCs w:val="24"/>
        </w:rPr>
        <w:t xml:space="preserve">8.4 Subprocessor Changes</w:t>
      </w:r>
    </w:p>
    <w:p>
      <w:pPr>
        <w:spacing w:after="120" w:line="276"/>
      </w:pPr>
      <w:r>
        <w:rPr>
          <w:rFonts w:ascii="Arial" w:cs="Arial" w:eastAsia="Arial" w:hAnsi="Arial"/>
          <w:b w:val="false"/>
          <w:bCs w:val="false"/>
          <w:i w:val="false"/>
          <w:iCs w:val="false"/>
          <w:color w:val="2C3E50"/>
          <w:sz w:val="20"/>
          <w:szCs w:val="20"/>
        </w:rPr>
        <w:t xml:space="preserve">Data subjects will be informed of any changes to subprocessors that materially affect the processing of their personal data. A list of current subprocessors is maintained and available upon request.</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9. International Data Transfers</w:t>
      </w:r>
    </w:p>
    <w:p>
      <w:pPr>
        <w:pStyle w:val="Heading2"/>
        <w:spacing w:before="280" w:after="160"/>
      </w:pPr>
      <w:r>
        <w:rPr>
          <w:rFonts w:ascii="Arial" w:cs="Arial" w:eastAsia="Arial" w:hAnsi="Arial"/>
          <w:b/>
          <w:bCs/>
          <w:color w:val="1B5E8A"/>
          <w:sz w:val="24"/>
          <w:szCs w:val="24"/>
        </w:rPr>
        <w:t xml:space="preserve">9.1 Data 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600"/>
        <w:gridCol w:w="26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Category</w:t>
            </w:r>
          </w:p>
        </w:tc>
        <w:tc>
          <w:tcPr>
            <w:tcW w:type="dxa" w:w="3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Primary Location</w:t>
            </w:r>
          </w:p>
        </w:tc>
        <w:tc>
          <w:tcPr>
            <w:tcW w:type="dxa" w:w="26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Backup Location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All Platform data</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Austria, EU</w:t>
            </w:r>
          </w:p>
        </w:tc>
        <w:tc>
          <w:tcPr>
            <w:tcW w:type="dxa" w:w="26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Austria, EU</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Email data</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Austria, EU</w:t>
            </w:r>
          </w:p>
        </w:tc>
        <w:tc>
          <w:tcPr>
            <w:tcW w:type="dxa" w:w="26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N/A (self-hosted)</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File storage</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Austria, EU</w:t>
            </w:r>
          </w:p>
        </w:tc>
        <w:tc>
          <w:tcPr>
            <w:tcW w:type="dxa" w:w="26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Austria, EU</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 processing</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Ireland, EU (OpenAI EU data residency)</w:t>
            </w:r>
          </w:p>
        </w:tc>
        <w:tc>
          <w:tcPr>
            <w:tcW w:type="dxa" w:w="26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N/A (zero retention)</w:t>
            </w:r>
          </w:p>
        </w:tc>
      </w:tr>
    </w:tbl>
    <w:p>
      <w:pPr>
        <w:pStyle w:val="Heading2"/>
        <w:spacing w:before="280" w:after="160"/>
      </w:pPr>
      <w:r>
        <w:rPr>
          <w:rFonts w:ascii="Arial" w:cs="Arial" w:eastAsia="Arial" w:hAnsi="Arial"/>
          <w:b/>
          <w:bCs/>
          <w:color w:val="1B5E8A"/>
          <w:sz w:val="24"/>
          <w:szCs w:val="24"/>
        </w:rPr>
        <w:t xml:space="preserve">9.2 Transfer Mechanisms</w:t>
      </w:r>
    </w:p>
    <w:p>
      <w:pPr>
        <w:spacing w:before="200" w:after="120"/>
      </w:pPr>
      <w:r>
        <w:rPr>
          <w:rFonts w:ascii="Arial" w:cs="Arial" w:eastAsia="Arial" w:hAnsi="Arial"/>
          <w:b/>
          <w:bCs/>
          <w:color w:val="1B5E8A"/>
          <w:sz w:val="22"/>
          <w:szCs w:val="22"/>
        </w:rPr>
        <w:t xml:space="preserve">Transfers within the EU/EEA</w:t>
      </w:r>
    </w:p>
    <w:p>
      <w:pPr>
        <w:spacing w:after="120" w:line="276"/>
      </w:pPr>
      <w:r>
        <w:rPr>
          <w:rFonts w:ascii="Arial" w:cs="Arial" w:eastAsia="Arial" w:hAnsi="Arial"/>
          <w:b w:val="false"/>
          <w:bCs w:val="false"/>
          <w:i w:val="false"/>
          <w:iCs w:val="false"/>
          <w:color w:val="2C3E50"/>
          <w:sz w:val="20"/>
          <w:szCs w:val="20"/>
        </w:rPr>
        <w:t xml:space="preserve">Data transfers between Monaco and EU Member States are conducted under the assumption of adequate protection. Monaco’s adoption of Law 1.565 and ratification of Convention 108+ provides a framework aligned with GDPR standards.</w:t>
      </w:r>
    </w:p>
    <w:p>
      <w:pPr>
        <w:spacing w:before="200" w:after="120"/>
      </w:pPr>
      <w:r>
        <w:rPr>
          <w:rFonts w:ascii="Arial" w:cs="Arial" w:eastAsia="Arial" w:hAnsi="Arial"/>
          <w:b/>
          <w:bCs/>
          <w:color w:val="1B5E8A"/>
          <w:sz w:val="22"/>
          <w:szCs w:val="22"/>
        </w:rPr>
        <w:t xml:space="preserve">Transfers to OpenAI</w:t>
      </w:r>
    </w:p>
    <w:p>
      <w:pPr>
        <w:spacing w:after="120" w:line="276"/>
      </w:pPr>
      <w:r>
        <w:rPr>
          <w:rFonts w:ascii="Arial" w:cs="Arial" w:eastAsia="Arial" w:hAnsi="Arial"/>
          <w:b w:val="false"/>
          <w:bCs w:val="false"/>
          <w:i w:val="false"/>
          <w:iCs w:val="false"/>
          <w:color w:val="2C3E50"/>
          <w:sz w:val="20"/>
          <w:szCs w:val="20"/>
        </w:rPr>
        <w:t xml:space="preserve">OpenAI processes data through their EU data residency feature:</w:t>
      </w:r>
    </w:p>
    <w:p>
      <w:pPr>
        <w:pStyle w:val="ListParagraph"/>
        <w:numPr>
          <w:ilvl w:val="0"/>
          <w:numId w:val="3"/>
        </w:numPr>
        <w:spacing w:after="60" w:line="276"/>
      </w:pPr>
      <w:r>
        <w:rPr>
          <w:rFonts w:ascii="Arial" w:cs="Arial" w:eastAsia="Arial" w:hAnsi="Arial"/>
          <w:color w:val="2C3E50"/>
          <w:sz w:val="20"/>
          <w:szCs w:val="20"/>
        </w:rPr>
        <w:t xml:space="preserve">Processing Location: Dublin, Ireland (EU)</w:t>
      </w:r>
    </w:p>
    <w:p>
      <w:pPr>
        <w:pStyle w:val="ListParagraph"/>
        <w:numPr>
          <w:ilvl w:val="0"/>
          <w:numId w:val="3"/>
        </w:numPr>
        <w:spacing w:after="60" w:line="276"/>
      </w:pPr>
      <w:r>
        <w:rPr>
          <w:rFonts w:ascii="Arial" w:cs="Arial" w:eastAsia="Arial" w:hAnsi="Arial"/>
          <w:color w:val="2C3E50"/>
          <w:sz w:val="20"/>
          <w:szCs w:val="20"/>
        </w:rPr>
        <w:t xml:space="preserve">Data Retention: Zero Data Retention (ZDR) – no data stored at rest</w:t>
      </w:r>
    </w:p>
    <w:p>
      <w:pPr>
        <w:pStyle w:val="ListParagraph"/>
        <w:numPr>
          <w:ilvl w:val="0"/>
          <w:numId w:val="3"/>
        </w:numPr>
        <w:spacing w:after="60" w:line="276"/>
      </w:pPr>
      <w:r>
        <w:rPr>
          <w:rFonts w:ascii="Arial" w:cs="Arial" w:eastAsia="Arial" w:hAnsi="Arial"/>
          <w:color w:val="2C3E50"/>
          <w:sz w:val="20"/>
          <w:szCs w:val="20"/>
        </w:rPr>
        <w:t xml:space="preserve">Transfer Mechanism: EU Standard Contractual Clauses (incorporated in OpenAI DPA)</w:t>
      </w:r>
    </w:p>
    <w:p>
      <w:pPr>
        <w:pStyle w:val="ListParagraph"/>
        <w:numPr>
          <w:ilvl w:val="0"/>
          <w:numId w:val="3"/>
        </w:numPr>
        <w:spacing w:after="60" w:line="276"/>
      </w:pPr>
      <w:r>
        <w:rPr>
          <w:rFonts w:ascii="Arial" w:cs="Arial" w:eastAsia="Arial" w:hAnsi="Arial"/>
          <w:color w:val="2C3E50"/>
          <w:sz w:val="20"/>
          <w:szCs w:val="20"/>
        </w:rPr>
        <w:t xml:space="preserve">Additional Safeguards: Data anonymisation before transmission, encryption in transit (TLS 1.2+)</w:t>
      </w:r>
    </w:p>
    <w:p>
      <w:pPr>
        <w:spacing w:before="200" w:after="120"/>
      </w:pPr>
      <w:r>
        <w:rPr>
          <w:rFonts w:ascii="Arial" w:cs="Arial" w:eastAsia="Arial" w:hAnsi="Arial"/>
          <w:b/>
          <w:bCs/>
          <w:color w:val="1B5E8A"/>
          <w:sz w:val="22"/>
          <w:szCs w:val="22"/>
        </w:rPr>
        <w:t xml:space="preserve">Transfers to Third Countries</w:t>
      </w:r>
    </w:p>
    <w:p>
      <w:pPr>
        <w:spacing w:after="120" w:line="276"/>
      </w:pPr>
      <w:r>
        <w:rPr>
          <w:rFonts w:ascii="Arial" w:cs="Arial" w:eastAsia="Arial" w:hAnsi="Arial"/>
          <w:b w:val="false"/>
          <w:bCs w:val="false"/>
          <w:i w:val="false"/>
          <w:iCs w:val="false"/>
          <w:color w:val="2C3E50"/>
          <w:sz w:val="20"/>
          <w:szCs w:val="20"/>
        </w:rPr>
        <w:t xml:space="preserve">The Platform does not transfer personal data to countries outside the EU/EEA except as described above. Any future transfers would require:</w:t>
      </w:r>
    </w:p>
    <w:p>
      <w:pPr>
        <w:pStyle w:val="ListParagraph"/>
        <w:numPr>
          <w:ilvl w:val="0"/>
          <w:numId w:val="10"/>
        </w:numPr>
        <w:spacing w:after="60" w:line="276"/>
      </w:pPr>
      <w:r>
        <w:rPr>
          <w:rFonts w:ascii="Arial" w:cs="Arial" w:eastAsia="Arial" w:hAnsi="Arial"/>
          <w:color w:val="2C3E50"/>
          <w:sz w:val="20"/>
          <w:szCs w:val="20"/>
        </w:rPr>
        <w:t xml:space="preserve">Adequacy decision by the European Commission, or</w:t>
      </w:r>
    </w:p>
    <w:p>
      <w:pPr>
        <w:pStyle w:val="ListParagraph"/>
        <w:numPr>
          <w:ilvl w:val="0"/>
          <w:numId w:val="10"/>
        </w:numPr>
        <w:spacing w:after="60" w:line="276"/>
      </w:pPr>
      <w:r>
        <w:rPr>
          <w:rFonts w:ascii="Arial" w:cs="Arial" w:eastAsia="Arial" w:hAnsi="Arial"/>
          <w:color w:val="2C3E50"/>
          <w:sz w:val="20"/>
          <w:szCs w:val="20"/>
        </w:rPr>
        <w:t xml:space="preserve">Appropriate safeguards (Standard Contractual Clauses, Binding Corporate Rules), or</w:t>
      </w:r>
    </w:p>
    <w:p>
      <w:pPr>
        <w:pStyle w:val="ListParagraph"/>
        <w:numPr>
          <w:ilvl w:val="0"/>
          <w:numId w:val="10"/>
        </w:numPr>
        <w:spacing w:after="60" w:line="276"/>
      </w:pPr>
      <w:r>
        <w:rPr>
          <w:rFonts w:ascii="Arial" w:cs="Arial" w:eastAsia="Arial" w:hAnsi="Arial"/>
          <w:color w:val="2C3E50"/>
          <w:sz w:val="20"/>
          <w:szCs w:val="20"/>
        </w:rPr>
        <w:t xml:space="preserve">Derogations for specific situations (explicit consent, contract necessity)</w:t>
      </w:r>
    </w:p>
    <w:p>
      <w:pPr>
        <w:pStyle w:val="Heading2"/>
        <w:spacing w:before="280" w:after="160"/>
      </w:pPr>
      <w:r>
        <w:rPr>
          <w:rFonts w:ascii="Arial" w:cs="Arial" w:eastAsia="Arial" w:hAnsi="Arial"/>
          <w:b/>
          <w:bCs/>
          <w:color w:val="1B5E8A"/>
          <w:sz w:val="24"/>
          <w:szCs w:val="24"/>
        </w:rPr>
        <w:t xml:space="preserve">9.3 Data Localisation</w:t>
      </w:r>
    </w:p>
    <w:p>
      <w:pPr>
        <w:spacing w:after="120" w:line="276"/>
      </w:pPr>
      <w:r>
        <w:rPr>
          <w:rFonts w:ascii="Arial" w:cs="Arial" w:eastAsia="Arial" w:hAnsi="Arial"/>
          <w:b w:val="false"/>
          <w:bCs w:val="false"/>
          <w:i w:val="false"/>
          <w:iCs w:val="false"/>
          <w:color w:val="2C3E50"/>
          <w:sz w:val="20"/>
          <w:szCs w:val="20"/>
        </w:rPr>
        <w:t xml:space="preserve">All personal data is stored within the European Union: Primary Database (Austria), File Storage (Austria), Email Server (Austria), and Backups (Austria). This approach minimises international transfer complexities and ensures GDPR compliance.</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10. Data Subject Rights</w:t>
      </w:r>
    </w:p>
    <w:p>
      <w:pPr>
        <w:pStyle w:val="Heading2"/>
        <w:spacing w:before="280" w:after="160"/>
      </w:pPr>
      <w:r>
        <w:rPr>
          <w:rFonts w:ascii="Arial" w:cs="Arial" w:eastAsia="Arial" w:hAnsi="Arial"/>
          <w:b/>
          <w:bCs/>
          <w:color w:val="1B5E8A"/>
          <w:sz w:val="24"/>
          <w:szCs w:val="24"/>
        </w:rPr>
        <w:t xml:space="preserve">10.1 Overview of Rights</w:t>
      </w:r>
    </w:p>
    <w:p>
      <w:pPr>
        <w:spacing w:after="120" w:line="276"/>
      </w:pPr>
      <w:r>
        <w:rPr>
          <w:rFonts w:ascii="Arial" w:cs="Arial" w:eastAsia="Arial" w:hAnsi="Arial"/>
          <w:b w:val="false"/>
          <w:bCs w:val="false"/>
          <w:i w:val="false"/>
          <w:iCs w:val="false"/>
          <w:color w:val="2C3E50"/>
          <w:sz w:val="20"/>
          <w:szCs w:val="20"/>
        </w:rPr>
        <w:t xml:space="preserve">Under the GDPR and Monaco Law 1.565, data subjects have the following rights: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5160"/>
      </w:tblGrid>
      <w:tr>
        <w:trPr>
          <w:tblHeader/>
        </w:trPr>
        <w:tc>
          <w:tcPr>
            <w:tcW w:type="dxa" w:w="2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Right</w:t>
            </w:r>
          </w:p>
        </w:tc>
        <w:tc>
          <w:tcPr>
            <w:tcW w:type="dxa" w:w="1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GDPR Article</w:t>
            </w:r>
          </w:p>
        </w:tc>
        <w:tc>
          <w:tcPr>
            <w:tcW w:type="dxa" w:w="51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Description</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Right of Access</w:t>
            </w:r>
          </w:p>
        </w:tc>
        <w:tc>
          <w:tcPr>
            <w:tcW w:type="dxa" w:w="1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15</w:t>
            </w:r>
          </w:p>
        </w:tc>
        <w:tc>
          <w:tcPr>
            <w:tcW w:type="dxa" w:w="5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right to obtain confirmation of whether personal data is being processed and access to that data</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Right to Rectification</w:t>
            </w:r>
          </w:p>
        </w:tc>
        <w:tc>
          <w:tcPr>
            <w:tcW w:type="dxa" w:w="1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Art. 16</w:t>
            </w:r>
          </w:p>
        </w:tc>
        <w:tc>
          <w:tcPr>
            <w:tcW w:type="dxa" w:w="5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The right to have inaccurate personal data corrected and incomplete data completed</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Right to Erasure</w:t>
            </w:r>
          </w:p>
        </w:tc>
        <w:tc>
          <w:tcPr>
            <w:tcW w:type="dxa" w:w="1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17</w:t>
            </w:r>
          </w:p>
        </w:tc>
        <w:tc>
          <w:tcPr>
            <w:tcW w:type="dxa" w:w="5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right to have personal data deleted in certain circumstances (“right to be forgotten”)</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Right to Restriction</w:t>
            </w:r>
          </w:p>
        </w:tc>
        <w:tc>
          <w:tcPr>
            <w:tcW w:type="dxa" w:w="1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Art. 18</w:t>
            </w:r>
          </w:p>
        </w:tc>
        <w:tc>
          <w:tcPr>
            <w:tcW w:type="dxa" w:w="5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The right to restrict processing in certain circumstances</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Right to Data Portability</w:t>
            </w:r>
          </w:p>
        </w:tc>
        <w:tc>
          <w:tcPr>
            <w:tcW w:type="dxa" w:w="1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20</w:t>
            </w:r>
          </w:p>
        </w:tc>
        <w:tc>
          <w:tcPr>
            <w:tcW w:type="dxa" w:w="5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right to receive personal data in a structured, commonly used, machine-readable format</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Right to Object</w:t>
            </w:r>
          </w:p>
        </w:tc>
        <w:tc>
          <w:tcPr>
            <w:tcW w:type="dxa" w:w="1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Art. 21</w:t>
            </w:r>
          </w:p>
        </w:tc>
        <w:tc>
          <w:tcPr>
            <w:tcW w:type="dxa" w:w="5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The right to object to processing based on legitimate interests or for direct marketing</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Automated Decision-Making</w:t>
            </w:r>
          </w:p>
        </w:tc>
        <w:tc>
          <w:tcPr>
            <w:tcW w:type="dxa" w:w="1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22</w:t>
            </w:r>
          </w:p>
        </w:tc>
        <w:tc>
          <w:tcPr>
            <w:tcW w:type="dxa" w:w="5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right not to be subject to decisions based solely on automated processing with legal or significant effects</w:t>
            </w:r>
          </w:p>
        </w:tc>
      </w:tr>
    </w:tbl>
    <w:p>
      <w:pPr>
        <w:pStyle w:val="Heading2"/>
        <w:spacing w:before="280" w:after="160"/>
      </w:pPr>
      <w:r>
        <w:rPr>
          <w:rFonts w:ascii="Arial" w:cs="Arial" w:eastAsia="Arial" w:hAnsi="Arial"/>
          <w:b/>
          <w:bCs/>
          <w:color w:val="1B5E8A"/>
          <w:sz w:val="24"/>
          <w:szCs w:val="24"/>
        </w:rPr>
        <w:t xml:space="preserve">10.2 Exercising Rights</w:t>
      </w:r>
    </w:p>
    <w:p>
      <w:pPr>
        <w:spacing w:before="200" w:after="120"/>
      </w:pPr>
      <w:r>
        <w:rPr>
          <w:rFonts w:ascii="Arial" w:cs="Arial" w:eastAsia="Arial" w:hAnsi="Arial"/>
          <w:b/>
          <w:bCs/>
          <w:color w:val="1B5E8A"/>
          <w:sz w:val="22"/>
          <w:szCs w:val="22"/>
        </w:rPr>
        <w:t xml:space="preserve">10.2.1 How to Submit a Request</w:t>
      </w:r>
    </w:p>
    <w:p>
      <w:pPr>
        <w:spacing w:after="120" w:line="276"/>
      </w:pPr>
      <w:r>
        <w:rPr>
          <w:rFonts w:ascii="Arial" w:cs="Arial" w:eastAsia="Arial" w:hAnsi="Arial"/>
          <w:b w:val="false"/>
          <w:bCs w:val="false"/>
          <w:i w:val="false"/>
          <w:iCs w:val="false"/>
          <w:color w:val="2C3E50"/>
          <w:sz w:val="20"/>
          <w:szCs w:val="20"/>
        </w:rPr>
        <w:t xml:space="preserve">Data subjects may exercise their rights by:</w:t>
      </w:r>
    </w:p>
    <w:p>
      <w:pPr>
        <w:pStyle w:val="ListParagraph"/>
        <w:numPr>
          <w:ilvl w:val="0"/>
          <w:numId w:val="11"/>
        </w:numPr>
        <w:spacing w:after="60" w:line="276"/>
      </w:pPr>
      <w:r>
        <w:rPr>
          <w:rFonts w:ascii="Arial" w:cs="Arial" w:eastAsia="Arial" w:hAnsi="Arial"/>
          <w:color w:val="2C3E50"/>
          <w:sz w:val="20"/>
          <w:szCs w:val="20"/>
        </w:rPr>
        <w:t xml:space="preserve">Email: gdpr@monaco-opc.com</w:t>
      </w:r>
    </w:p>
    <w:p>
      <w:pPr>
        <w:pStyle w:val="ListParagraph"/>
        <w:numPr>
          <w:ilvl w:val="0"/>
          <w:numId w:val="11"/>
        </w:numPr>
        <w:spacing w:after="60" w:line="276"/>
      </w:pPr>
      <w:r>
        <w:rPr>
          <w:rFonts w:ascii="Arial" w:cs="Arial" w:eastAsia="Arial" w:hAnsi="Arial"/>
          <w:color w:val="2C3E50"/>
          <w:sz w:val="20"/>
          <w:szCs w:val="20"/>
        </w:rPr>
        <w:t xml:space="preserve">Platform: Profile → Settings → Privacy (where applicable)</w:t>
      </w:r>
    </w:p>
    <w:p>
      <w:pPr>
        <w:spacing w:before="200" w:after="120"/>
      </w:pPr>
      <w:r>
        <w:rPr>
          <w:rFonts w:ascii="Arial" w:cs="Arial" w:eastAsia="Arial" w:hAnsi="Arial"/>
          <w:b/>
          <w:bCs/>
          <w:color w:val="1B5E8A"/>
          <w:sz w:val="22"/>
          <w:szCs w:val="22"/>
        </w:rPr>
        <w:t xml:space="preserve">10.2.2 Identity Verification</w:t>
      </w:r>
    </w:p>
    <w:p>
      <w:pPr>
        <w:spacing w:after="120" w:line="276"/>
      </w:pPr>
      <w:r>
        <w:rPr>
          <w:rFonts w:ascii="Arial" w:cs="Arial" w:eastAsia="Arial" w:hAnsi="Arial"/>
          <w:b w:val="false"/>
          <w:bCs w:val="false"/>
          <w:i w:val="false"/>
          <w:iCs w:val="false"/>
          <w:color w:val="2C3E50"/>
          <w:sz w:val="20"/>
          <w:szCs w:val="20"/>
        </w:rPr>
        <w:t xml:space="preserve">To protect personal data from unauthorised access, identity verification is required for all data subject requests. Requests from registered email addresses may be verified through magic link authentication. Requests from other channels may require additional verification (e.g., copy of ID document).</w:t>
      </w:r>
    </w:p>
    <w:p>
      <w:pPr>
        <w:spacing w:before="200" w:after="120"/>
      </w:pPr>
      <w:r>
        <w:rPr>
          <w:rFonts w:ascii="Arial" w:cs="Arial" w:eastAsia="Arial" w:hAnsi="Arial"/>
          <w:b/>
          <w:bCs/>
          <w:color w:val="1B5E8A"/>
          <w:sz w:val="22"/>
          <w:szCs w:val="22"/>
        </w:rPr>
        <w:t xml:space="preserve">10.2.3 Response Timeframes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Request Type</w:t>
            </w:r>
          </w:p>
        </w:tc>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Initial Response</w:t>
            </w:r>
          </w:p>
        </w:tc>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Maximum Completion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Simple requests</w:t>
            </w:r>
          </w:p>
        </w:tc>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72 hours</w:t>
            </w:r>
          </w:p>
        </w:tc>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30 days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Complex requests</w:t>
            </w:r>
          </w:p>
        </w:tc>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72 hours</w:t>
            </w:r>
          </w:p>
        </w:tc>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90 days (with notification)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Rectification via Platform</w:t>
            </w:r>
          </w:p>
        </w:tc>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Immediate</w:t>
            </w:r>
          </w:p>
        </w:tc>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Immediate</w:t>
            </w:r>
          </w:p>
        </w:tc>
      </w:tr>
    </w:tbl>
    <w:p>
      <w:pPr>
        <w:pStyle w:val="Heading2"/>
        <w:spacing w:before="280" w:after="160"/>
      </w:pPr>
      <w:r>
        <w:rPr>
          <w:rFonts w:ascii="Arial" w:cs="Arial" w:eastAsia="Arial" w:hAnsi="Arial"/>
          <w:b/>
          <w:bCs/>
          <w:color w:val="1B5E8A"/>
          <w:sz w:val="24"/>
          <w:szCs w:val="24"/>
        </w:rPr>
        <w:t xml:space="preserve">10.3 Right-Specific Procedures</w:t>
      </w:r>
    </w:p>
    <w:p>
      <w:pPr>
        <w:spacing w:before="200" w:after="120"/>
      </w:pPr>
      <w:r>
        <w:rPr>
          <w:rFonts w:ascii="Arial" w:cs="Arial" w:eastAsia="Arial" w:hAnsi="Arial"/>
          <w:b/>
          <w:bCs/>
          <w:color w:val="1B5E8A"/>
          <w:sz w:val="22"/>
          <w:szCs w:val="22"/>
        </w:rPr>
        <w:t xml:space="preserve">10.3.1 Right of Access (Article 15)</w:t>
      </w:r>
    </w:p>
    <w:p>
      <w:pPr>
        <w:spacing w:after="120" w:line="276"/>
      </w:pPr>
      <w:r>
        <w:rPr>
          <w:rFonts w:ascii="Arial" w:cs="Arial" w:eastAsia="Arial" w:hAnsi="Arial"/>
          <w:b w:val="false"/>
          <w:bCs w:val="false"/>
          <w:i w:val="false"/>
          <w:iCs w:val="false"/>
          <w:color w:val="2C3E50"/>
          <w:sz w:val="20"/>
          <w:szCs w:val="20"/>
        </w:rPr>
        <w:t xml:space="preserve">Data subjects may request confirmation of whether their data is processed, a copy of their personal data, and information about processing purposes, categories, recipients, retention, and rights. Data is compiled within 30 days and provided in JSON or PDF format. Self-service export is available via Profile → Settings → Export Data.</w:t>
      </w:r>
    </w:p>
    <w:p>
      <w:pPr>
        <w:spacing w:before="200" w:after="120"/>
      </w:pPr>
      <w:r>
        <w:rPr>
          <w:rFonts w:ascii="Arial" w:cs="Arial" w:eastAsia="Arial" w:hAnsi="Arial"/>
          <w:b/>
          <w:bCs/>
          <w:color w:val="1B5E8A"/>
          <w:sz w:val="22"/>
          <w:szCs w:val="22"/>
        </w:rPr>
        <w:t xml:space="preserve">10.3.2 Right to Rectification (Article 16)</w:t>
      </w:r>
    </w:p>
    <w:p>
      <w:pPr>
        <w:spacing w:after="120" w:line="276"/>
      </w:pPr>
      <w:r>
        <w:rPr>
          <w:rFonts w:ascii="Arial" w:cs="Arial" w:eastAsia="Arial" w:hAnsi="Arial"/>
          <w:b w:val="false"/>
          <w:bCs w:val="false"/>
          <w:i w:val="false"/>
          <w:iCs w:val="false"/>
          <w:color w:val="2C3E50"/>
          <w:sz w:val="20"/>
          <w:szCs w:val="20"/>
        </w:rPr>
        <w:t xml:space="preserve">Most data can be corrected via Profile → Settings → Edit Profile (self-service). For data that cannot be self-corrected, submit a request to gdpr@monaco-opc.com. Corrections are applied within 72 hours.</w:t>
      </w:r>
    </w:p>
    <w:p>
      <w:pPr>
        <w:spacing w:before="200" w:after="120"/>
      </w:pPr>
      <w:r>
        <w:rPr>
          <w:rFonts w:ascii="Arial" w:cs="Arial" w:eastAsia="Arial" w:hAnsi="Arial"/>
          <w:b/>
          <w:bCs/>
          <w:color w:val="1B5E8A"/>
          <w:sz w:val="22"/>
          <w:szCs w:val="22"/>
        </w:rPr>
        <w:t xml:space="preserve">10.3.3 Right to Erasure (Article 17)</w:t>
      </w:r>
    </w:p>
    <w:p>
      <w:pPr>
        <w:spacing w:after="120" w:line="276"/>
      </w:pPr>
      <w:r>
        <w:rPr>
          <w:rFonts w:ascii="Arial" w:cs="Arial" w:eastAsia="Arial" w:hAnsi="Arial"/>
          <w:b w:val="false"/>
          <w:bCs w:val="false"/>
          <w:i w:val="false"/>
          <w:iCs w:val="false"/>
          <w:color w:val="2C3E50"/>
          <w:sz w:val="20"/>
          <w:szCs w:val="20"/>
        </w:rPr>
        <w:t xml:space="preserve">Deletion of personal data is available where data is no longer necessary, consent is withdrawn, the data subject objects and no overriding grounds exist, or data was unlawfully processed. Exceptions apply for legal obligations, legal claims, and archiving in the public interest. Self-service account deletion is available via Profile → Settings → Delete Account. Where complete deletion is not possible, data will be anonymised.</w:t>
      </w:r>
    </w:p>
    <w:p>
      <w:pPr>
        <w:spacing w:before="200" w:after="120"/>
      </w:pPr>
      <w:r>
        <w:rPr>
          <w:rFonts w:ascii="Arial" w:cs="Arial" w:eastAsia="Arial" w:hAnsi="Arial"/>
          <w:b/>
          <w:bCs/>
          <w:color w:val="1B5E8A"/>
          <w:sz w:val="22"/>
          <w:szCs w:val="22"/>
        </w:rPr>
        <w:t xml:space="preserve">10.3.4 Right to Restriction (Article 18)</w:t>
      </w:r>
    </w:p>
    <w:p>
      <w:pPr>
        <w:spacing w:after="120" w:line="276"/>
      </w:pPr>
      <w:r>
        <w:rPr>
          <w:rFonts w:ascii="Arial" w:cs="Arial" w:eastAsia="Arial" w:hAnsi="Arial"/>
          <w:b w:val="false"/>
          <w:bCs w:val="false"/>
          <w:i w:val="false"/>
          <w:iCs w:val="false"/>
          <w:color w:val="2C3E50"/>
          <w:sz w:val="20"/>
          <w:szCs w:val="20"/>
        </w:rPr>
        <w:t xml:space="preserve">Processing may be restricted where accuracy is contested, processing is unlawful, data is needed for legal claims, or an objection is pending verification. Data is marked as restricted and limited to storage only.</w:t>
      </w:r>
    </w:p>
    <w:p>
      <w:pPr>
        <w:spacing w:before="200" w:after="120"/>
      </w:pPr>
      <w:r>
        <w:rPr>
          <w:rFonts w:ascii="Arial" w:cs="Arial" w:eastAsia="Arial" w:hAnsi="Arial"/>
          <w:b/>
          <w:bCs/>
          <w:color w:val="1B5E8A"/>
          <w:sz w:val="22"/>
          <w:szCs w:val="22"/>
        </w:rPr>
        <w:t xml:space="preserve">10.3.5 Right to Data Portability (Article 20)</w:t>
      </w:r>
    </w:p>
    <w:p>
      <w:pPr>
        <w:spacing w:after="120" w:line="276"/>
      </w:pPr>
      <w:r>
        <w:rPr>
          <w:rFonts w:ascii="Arial" w:cs="Arial" w:eastAsia="Arial" w:hAnsi="Arial"/>
          <w:b w:val="false"/>
          <w:bCs w:val="false"/>
          <w:i w:val="false"/>
          <w:iCs w:val="false"/>
          <w:color w:val="2C3E50"/>
          <w:sz w:val="20"/>
          <w:szCs w:val="20"/>
        </w:rPr>
        <w:t xml:space="preserve">Data subjects may receive their personal data in JSON format, including user profile data, project submissions, team memberships, and evaluation data. Available via Profile → Settings → Export Data or by request to gdpr@monaco-opc.com.</w:t>
      </w:r>
    </w:p>
    <w:p>
      <w:pPr>
        <w:spacing w:before="200" w:after="120"/>
      </w:pPr>
      <w:r>
        <w:rPr>
          <w:rFonts w:ascii="Arial" w:cs="Arial" w:eastAsia="Arial" w:hAnsi="Arial"/>
          <w:b/>
          <w:bCs/>
          <w:color w:val="1B5E8A"/>
          <w:sz w:val="22"/>
          <w:szCs w:val="22"/>
        </w:rPr>
        <w:t xml:space="preserve">10.3.6 Right to Object (Article 21)</w:t>
      </w:r>
    </w:p>
    <w:p>
      <w:pPr>
        <w:spacing w:after="120" w:line="276"/>
      </w:pPr>
      <w:r>
        <w:rPr>
          <w:rFonts w:ascii="Arial" w:cs="Arial" w:eastAsia="Arial" w:hAnsi="Arial"/>
          <w:b w:val="false"/>
          <w:bCs w:val="false"/>
          <w:i w:val="false"/>
          <w:iCs w:val="false"/>
          <w:color w:val="2C3E50"/>
          <w:sz w:val="20"/>
          <w:szCs w:val="20"/>
        </w:rPr>
        <w:t xml:space="preserve">Data subjects may object to processing based on legitimate interests by submitting specific grounds to gdpr@monaco-opc.com. The objection is assessed within 30 days. For AI processing, data subjects may object and their projects will be excluded from AI filtering with manual review conducted instead.</w:t>
      </w:r>
    </w:p>
    <w:p>
      <w:pPr>
        <w:spacing w:before="200" w:after="120"/>
      </w:pPr>
      <w:r>
        <w:rPr>
          <w:rFonts w:ascii="Arial" w:cs="Arial" w:eastAsia="Arial" w:hAnsi="Arial"/>
          <w:b/>
          <w:bCs/>
          <w:color w:val="1B5E8A"/>
          <w:sz w:val="22"/>
          <w:szCs w:val="22"/>
        </w:rPr>
        <w:t xml:space="preserve">10.3.7 Rights Related to Automated Decision-Making (Article 22)</w:t>
      </w:r>
    </w:p>
    <w:p>
      <w:pPr>
        <w:spacing w:after="120" w:line="276"/>
      </w:pPr>
      <w:r>
        <w:rPr>
          <w:rFonts w:ascii="Arial" w:cs="Arial" w:eastAsia="Arial" w:hAnsi="Arial"/>
          <w:b w:val="false"/>
          <w:bCs w:val="false"/>
          <w:i w:val="false"/>
          <w:iCs w:val="false"/>
          <w:color w:val="2C3E50"/>
          <w:sz w:val="20"/>
          <w:szCs w:val="20"/>
        </w:rPr>
        <w:t xml:space="preserve">The Platform does not make decisions based solely on automated processing that produce legal effects or similarly significantly affect data subjects. All AI-assisted processes are supportive recommendations only, subject to human review and final decision. Data subjects may request human review of any AI-assisted recommendation.</w:t>
      </w:r>
    </w:p>
    <w:p>
      <w:pPr>
        <w:pStyle w:val="Heading2"/>
        <w:spacing w:before="280" w:after="160"/>
      </w:pPr>
      <w:r>
        <w:rPr>
          <w:rFonts w:ascii="Arial" w:cs="Arial" w:eastAsia="Arial" w:hAnsi="Arial"/>
          <w:b/>
          <w:bCs/>
          <w:color w:val="1B5E8A"/>
          <w:sz w:val="24"/>
          <w:szCs w:val="24"/>
        </w:rPr>
        <w:t xml:space="preserve">10.4 Complaints</w:t>
      </w:r>
    </w:p>
    <w:p>
      <w:pPr>
        <w:spacing w:after="120" w:line="276"/>
      </w:pPr>
      <w:r>
        <w:rPr>
          <w:rFonts w:ascii="Arial" w:cs="Arial" w:eastAsia="Arial" w:hAnsi="Arial"/>
          <w:b w:val="false"/>
          <w:bCs w:val="false"/>
          <w:i w:val="false"/>
          <w:iCs w:val="false"/>
          <w:color w:val="2C3E50"/>
          <w:sz w:val="20"/>
          <w:szCs w:val="20"/>
        </w:rPr>
        <w:t xml:space="preserve">Data subjects have the right to lodge a complaint with the Autorité de Protection des Données Personnelles (APDP), Principality of Monaco. Data subjects are encouraged to contact gdpr@monaco-opc.com first to resolve any concerns directly.</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11. Security Measures</w:t>
      </w:r>
    </w:p>
    <w:p>
      <w:pPr>
        <w:pStyle w:val="Heading2"/>
        <w:spacing w:before="280" w:after="160"/>
      </w:pPr>
      <w:r>
        <w:rPr>
          <w:rFonts w:ascii="Arial" w:cs="Arial" w:eastAsia="Arial" w:hAnsi="Arial"/>
          <w:b/>
          <w:bCs/>
          <w:color w:val="1B5E8A"/>
          <w:sz w:val="24"/>
          <w:szCs w:val="24"/>
        </w:rPr>
        <w:t xml:space="preserve">11.1 Technical Measures</w:t>
      </w:r>
    </w:p>
    <w:p>
      <w:pPr>
        <w:spacing w:before="200" w:after="120"/>
      </w:pPr>
      <w:r>
        <w:rPr>
          <w:rFonts w:ascii="Arial" w:cs="Arial" w:eastAsia="Arial" w:hAnsi="Arial"/>
          <w:b/>
          <w:bCs/>
          <w:color w:val="1B5E8A"/>
          <w:sz w:val="22"/>
          <w:szCs w:val="22"/>
        </w:rPr>
        <w:t xml:space="preserve">11.1.1 Encryption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000"/>
        <w:gridCol w:w="29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Layer</w:t>
            </w:r>
          </w:p>
        </w:tc>
        <w:tc>
          <w:tcPr>
            <w:tcW w:type="dxa" w:w="4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Measure</w:t>
            </w:r>
          </w:p>
        </w:tc>
        <w:tc>
          <w:tcPr>
            <w:tcW w:type="dxa" w:w="2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Standard</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in Transit</w:t>
            </w:r>
          </w:p>
        </w:tc>
        <w:tc>
          <w:tcPr>
            <w:tcW w:type="dxa" w:w="4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TLS encryption for all connections</w:t>
            </w:r>
          </w:p>
        </w:tc>
        <w:tc>
          <w:tcPr>
            <w:tcW w:type="dxa" w:w="2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TLS 1.2 minimum, TLS 1.3 preferred</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at Rest</w:t>
            </w:r>
          </w:p>
        </w:tc>
        <w:tc>
          <w:tcPr>
            <w:tcW w:type="dxa" w:w="4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Database encryption</w:t>
            </w:r>
          </w:p>
        </w:tc>
        <w:tc>
          <w:tcPr>
            <w:tcW w:type="dxa" w:w="2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AES-256</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File Storage</w:t>
            </w:r>
          </w:p>
        </w:tc>
        <w:tc>
          <w:tcPr>
            <w:tcW w:type="dxa" w:w="4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Encrypted object storage</w:t>
            </w:r>
          </w:p>
        </w:tc>
        <w:tc>
          <w:tcPr>
            <w:tcW w:type="dxa" w:w="2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AES-256</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Backups</w:t>
            </w:r>
          </w:p>
        </w:tc>
        <w:tc>
          <w:tcPr>
            <w:tcW w:type="dxa" w:w="4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Encrypted backup files</w:t>
            </w:r>
          </w:p>
        </w:tc>
        <w:tc>
          <w:tcPr>
            <w:tcW w:type="dxa" w:w="2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AES-256</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Secrets</w:t>
            </w:r>
          </w:p>
        </w:tc>
        <w:tc>
          <w:tcPr>
            <w:tcW w:type="dxa" w:w="4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Encrypted storage in database</w:t>
            </w:r>
          </w:p>
        </w:tc>
        <w:tc>
          <w:tcPr>
            <w:tcW w:type="dxa" w:w="2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AES-256 with application-level key</w:t>
            </w:r>
          </w:p>
        </w:tc>
      </w:tr>
    </w:tbl>
    <w:p>
      <w:pPr>
        <w:spacing w:before="200" w:after="120"/>
      </w:pPr>
      <w:r>
        <w:rPr>
          <w:rFonts w:ascii="Arial" w:cs="Arial" w:eastAsia="Arial" w:hAnsi="Arial"/>
          <w:b/>
          <w:bCs/>
          <w:color w:val="1B5E8A"/>
          <w:sz w:val="22"/>
          <w:szCs w:val="22"/>
        </w:rPr>
        <w:t xml:space="preserve">11.1.2 Authentication and Access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Measure</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Implementation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Authentication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Passwordless magic link (primary), optional password</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Session Management</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Secure HTTP-only cookies, configurable expiry</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Multi-Factor Authentication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Magic link serves as second factor (email possession)</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Role-Based Access Control</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Granular permissions by role (SUPER_ADMIN, PROGRAM_ADMIN, JURY_MEMBER, MENTOR, OBSERVER)</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Principle of Least Privilege</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Users only access data necessary for their role</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API Authentication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Secure session tokens, CSRF protection</w:t>
            </w:r>
          </w:p>
        </w:tc>
      </w:tr>
    </w:tbl>
    <w:p>
      <w:pPr>
        <w:spacing w:before="200" w:after="120"/>
      </w:pPr>
      <w:r>
        <w:rPr>
          <w:rFonts w:ascii="Arial" w:cs="Arial" w:eastAsia="Arial" w:hAnsi="Arial"/>
          <w:b/>
          <w:bCs/>
          <w:color w:val="1B5E8A"/>
          <w:sz w:val="22"/>
          <w:szCs w:val="22"/>
        </w:rPr>
        <w:t xml:space="preserve">11.1.3 Network Security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Measure</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Implementation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Firewall</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Host-based firewall (iptables) restricting access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Rate Limiting</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100 requests/minute per IP for API; 10 requests/minute for auth endpoints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DDoS Protection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Network-level protection via hosting provider</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HTTPS Only</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All traffic encrypted; HTTP redirected to HTTPS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Headers</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HSTS, X-Content-Type-Options, X-Frame-Options, CSP</w:t>
            </w:r>
          </w:p>
        </w:tc>
      </w:tr>
    </w:tbl>
    <w:p>
      <w:pPr>
        <w:spacing w:before="200" w:after="120"/>
      </w:pPr>
      <w:r>
        <w:rPr>
          <w:rFonts w:ascii="Arial" w:cs="Arial" w:eastAsia="Arial" w:hAnsi="Arial"/>
          <w:b/>
          <w:bCs/>
          <w:color w:val="1B5E8A"/>
          <w:sz w:val="22"/>
          <w:szCs w:val="22"/>
        </w:rPr>
        <w:t xml:space="preserve">11.1.4 Application Security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Measure</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Implementation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Input Validation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Zod schema validation on all inputs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SQL Injection Prevention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Prisma ORM with parameterised queries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XSS Prevention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React’s built-in escaping, Content Security Policy</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CSRF Protection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SameSite cookies, JSON content type requirement</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Dependency Scanning</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Regular npm audit for vulnerable packages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Error Handling</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Sanitised error messages (no sensitive data exposure)</w:t>
            </w:r>
          </w:p>
        </w:tc>
      </w:tr>
    </w:tbl>
    <w:p>
      <w:pPr>
        <w:pStyle w:val="Heading2"/>
        <w:spacing w:before="280" w:after="160"/>
      </w:pPr>
      <w:r>
        <w:rPr>
          <w:rFonts w:ascii="Arial" w:cs="Arial" w:eastAsia="Arial" w:hAnsi="Arial"/>
          <w:b/>
          <w:bCs/>
          <w:color w:val="1B5E8A"/>
          <w:sz w:val="24"/>
          <w:szCs w:val="24"/>
        </w:rPr>
        <w:t xml:space="preserve">11.2 Organisational Measures</w:t>
      </w:r>
    </w:p>
    <w:p>
      <w:pPr>
        <w:spacing w:before="200" w:after="120"/>
      </w:pPr>
      <w:r>
        <w:rPr>
          <w:rFonts w:ascii="Arial" w:cs="Arial" w:eastAsia="Arial" w:hAnsi="Arial"/>
          <w:b/>
          <w:bCs/>
          <w:color w:val="1B5E8A"/>
          <w:sz w:val="22"/>
          <w:szCs w:val="22"/>
        </w:rPr>
        <w:t xml:space="preserve">11.2.1 Access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Measure</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Implementation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Access Provisioning</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Role-based, approved by administrator</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Access Review</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Quarterly review of user access rights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Access Revocation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Immediate upon role change or departure</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Administrator Access</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Limited to essential personnel</w:t>
            </w:r>
          </w:p>
        </w:tc>
      </w:tr>
    </w:tbl>
    <w:p>
      <w:pPr>
        <w:spacing w:before="200" w:after="120"/>
      </w:pPr>
      <w:r>
        <w:rPr>
          <w:rFonts w:ascii="Arial" w:cs="Arial" w:eastAsia="Arial" w:hAnsi="Arial"/>
          <w:b/>
          <w:bCs/>
          <w:color w:val="1B5E8A"/>
          <w:sz w:val="22"/>
          <w:szCs w:val="22"/>
        </w:rPr>
        <w:t xml:space="preserve">11.2.2 Audit and Monitoring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Measure</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Implementation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Audit Logging</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All sensitive actions logged with timestamp, user, IP</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Log Retention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 for security logs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Log Protection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Logs stored separately, access restricted</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Monitoring</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Automated alerts for suspicious activity</w:t>
            </w:r>
          </w:p>
        </w:tc>
      </w:tr>
    </w:tbl>
    <w:p>
      <w:pPr>
        <w:spacing w:before="200" w:after="120"/>
      </w:pPr>
      <w:r>
        <w:rPr>
          <w:rFonts w:ascii="Arial" w:cs="Arial" w:eastAsia="Arial" w:hAnsi="Arial"/>
          <w:b/>
          <w:bCs/>
          <w:color w:val="1B5E8A"/>
          <w:sz w:val="22"/>
          <w:szCs w:val="22"/>
        </w:rPr>
        <w:t xml:space="preserve">11.2.3 Incident Response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Phase</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Activities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Preparation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Documented procedures, contact lists, tools ready</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Detection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Monitoring, alerting, user reports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Containment</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Isolate affected systems, preserve evidence</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Eradication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Remove threat, patch vulnerabilities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Recovery</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Restore services, verify integrity</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Lessons Learned</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Post-incident review, procedure updates</w:t>
            </w:r>
          </w:p>
        </w:tc>
      </w:tr>
    </w:tbl>
    <w:p>
      <w:pPr>
        <w:pStyle w:val="Heading2"/>
        <w:spacing w:before="280" w:after="160"/>
      </w:pPr>
      <w:r>
        <w:rPr>
          <w:rFonts w:ascii="Arial" w:cs="Arial" w:eastAsia="Arial" w:hAnsi="Arial"/>
          <w:b/>
          <w:bCs/>
          <w:color w:val="1B5E8A"/>
          <w:sz w:val="24"/>
          <w:szCs w:val="24"/>
        </w:rPr>
        <w:t xml:space="preserve">11.3 Physical Security</w:t>
      </w:r>
    </w:p>
    <w:p>
      <w:pPr>
        <w:spacing w:after="120" w:line="276"/>
      </w:pPr>
      <w:r>
        <w:rPr>
          <w:rFonts w:ascii="Arial" w:cs="Arial" w:eastAsia="Arial" w:hAnsi="Arial"/>
          <w:b w:val="false"/>
          <w:bCs w:val="false"/>
          <w:i w:val="false"/>
          <w:iCs w:val="false"/>
          <w:color w:val="2C3E50"/>
          <w:sz w:val="20"/>
          <w:szCs w:val="20"/>
        </w:rPr>
        <w:t xml:space="preserve">The Platform is hosted on a private Virtual Private Server (VPS) located in Austria, EU. Physical security is managed by the hosting provider and includes data centre physical access controls, environmental controls (fire suppression, climate control), power redundancy, and 24/7 security monitoring.</w:t>
      </w:r>
    </w:p>
    <w:p>
      <w:pPr>
        <w:pStyle w:val="Heading2"/>
        <w:spacing w:before="280" w:after="160"/>
      </w:pPr>
      <w:r>
        <w:rPr>
          <w:rFonts w:ascii="Arial" w:cs="Arial" w:eastAsia="Arial" w:hAnsi="Arial"/>
          <w:b/>
          <w:bCs/>
          <w:color w:val="1B5E8A"/>
          <w:sz w:val="24"/>
          <w:szCs w:val="24"/>
        </w:rPr>
        <w:t xml:space="preserve">11.4 Backup and Recovery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Aspect</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Implementation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Backup Frequency</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Daily full backups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Backup Retention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90 days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Backup Encryption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AES-256 encrypted</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Backup Location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Same geographic region (Austria, EU)</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Recovery Testing</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Quarterly restore tests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Recovery Time Objective</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4 hours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Recovery Point Objective</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24 hours</w:t>
            </w:r>
          </w:p>
        </w:tc>
      </w:tr>
    </w:tbl>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12. Data Retention Policy</w:t>
      </w:r>
    </w:p>
    <w:p>
      <w:pPr>
        <w:pStyle w:val="Heading2"/>
        <w:spacing w:before="280" w:after="160"/>
      </w:pPr>
      <w:r>
        <w:rPr>
          <w:rFonts w:ascii="Arial" w:cs="Arial" w:eastAsia="Arial" w:hAnsi="Arial"/>
          <w:b/>
          <w:bCs/>
          <w:color w:val="1B5E8A"/>
          <w:sz w:val="24"/>
          <w:szCs w:val="24"/>
        </w:rPr>
        <w:t xml:space="preserve">12.1 Retention Principles</w:t>
      </w:r>
    </w:p>
    <w:p>
      <w:pPr>
        <w:spacing w:after="120" w:line="276"/>
      </w:pPr>
      <w:r>
        <w:rPr>
          <w:rFonts w:ascii="Arial" w:cs="Arial" w:eastAsia="Arial" w:hAnsi="Arial"/>
          <w:b w:val="false"/>
          <w:bCs w:val="false"/>
          <w:i w:val="false"/>
          <w:iCs w:val="false"/>
          <w:color w:val="2C3E50"/>
          <w:sz w:val="20"/>
          <w:szCs w:val="20"/>
        </w:rPr>
        <w:t xml:space="preserve">Data is retained only as long as necessary for the purposes for which it was collected, subject to legal retention requirements and legitimate archival needs.</w:t>
      </w:r>
    </w:p>
    <w:p>
      <w:pPr>
        <w:pStyle w:val="Heading2"/>
        <w:spacing w:before="280" w:after="160"/>
      </w:pPr>
      <w:r>
        <w:rPr>
          <w:rFonts w:ascii="Arial" w:cs="Arial" w:eastAsia="Arial" w:hAnsi="Arial"/>
          <w:b/>
          <w:bCs/>
          <w:color w:val="1B5E8A"/>
          <w:sz w:val="24"/>
          <w:szCs w:val="24"/>
        </w:rPr>
        <w:t xml:space="preserve">12.2 Retention Periods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600"/>
        <w:gridCol w:w="2360"/>
      </w:tblGrid>
      <w:tr>
        <w:trPr>
          <w:tblHeader/>
        </w:trPr>
        <w:tc>
          <w:tcPr>
            <w:tcW w:type="dxa" w:w="2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Category</w:t>
            </w:r>
          </w:p>
        </w:tc>
        <w:tc>
          <w:tcPr>
            <w:tcW w:type="dxa" w:w="2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Retention Period</w:t>
            </w:r>
          </w:p>
        </w:tc>
        <w:tc>
          <w:tcPr>
            <w:tcW w:type="dxa" w:w="2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Basis</w:t>
            </w:r>
          </w:p>
        </w:tc>
        <w:tc>
          <w:tcPr>
            <w:tcW w:type="dxa" w:w="23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Post-Retention Action</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Active User Accounts</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Duration of account</w:t>
            </w:r>
          </w:p>
        </w:tc>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w:t>
            </w:r>
          </w:p>
        </w:tc>
        <w:tc>
          <w:tcPr>
            <w:tcW w:type="dxa" w:w="2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Deletion or anonymisation on request</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Inactive User Accounts</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2 years after last login</w:t>
            </w:r>
          </w:p>
        </w:tc>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2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Notification, then anonymisation</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Submissions</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10 years from submission</w:t>
            </w:r>
          </w:p>
        </w:tc>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 (historical record)</w:t>
            </w:r>
          </w:p>
        </w:tc>
        <w:tc>
          <w:tcPr>
            <w:tcW w:type="dxa" w:w="2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Anonymisation</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Evaluation Data</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10 years from evaluation</w:t>
            </w:r>
          </w:p>
        </w:tc>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 (audit trail)</w:t>
            </w:r>
          </w:p>
        </w:tc>
        <w:tc>
          <w:tcPr>
            <w:tcW w:type="dxa" w:w="2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Anonymisation</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Member Data</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10 years from project submission</w:t>
            </w:r>
          </w:p>
        </w:tc>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2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Anonymisation</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Audit Logs</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w:t>
            </w:r>
          </w:p>
        </w:tc>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 (security)</w:t>
            </w:r>
          </w:p>
        </w:tc>
        <w:tc>
          <w:tcPr>
            <w:tcW w:type="dxa" w:w="2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deletion</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Usage Logs</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w:t>
            </w:r>
          </w:p>
        </w:tc>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 (cost tracking)</w:t>
            </w:r>
          </w:p>
        </w:tc>
        <w:tc>
          <w:tcPr>
            <w:tcW w:type="dxa" w:w="2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deletion</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Session Data</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Session duration</w:t>
            </w:r>
          </w:p>
        </w:tc>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w:t>
            </w:r>
          </w:p>
        </w:tc>
        <w:tc>
          <w:tcPr>
            <w:tcW w:type="dxa" w:w="2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expiration</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Magic Link Tokens</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15 minutes</w:t>
            </w:r>
          </w:p>
        </w:tc>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w:t>
            </w:r>
          </w:p>
        </w:tc>
        <w:tc>
          <w:tcPr>
            <w:tcW w:type="dxa" w:w="2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expiration</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Error Logs</w:t>
            </w:r>
          </w:p>
        </w:tc>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30 days</w:t>
            </w:r>
          </w:p>
        </w:tc>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 (debugging)</w:t>
            </w:r>
          </w:p>
        </w:tc>
        <w:tc>
          <w:tcPr>
            <w:tcW w:type="dxa" w:w="2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deletion</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Backup Data</w:t>
            </w:r>
          </w:p>
        </w:tc>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90 days</w:t>
            </w:r>
          </w:p>
        </w:tc>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 (recovery)</w:t>
            </w:r>
          </w:p>
        </w:tc>
        <w:tc>
          <w:tcPr>
            <w:tcW w:type="dxa" w:w="2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rotation</w:t>
            </w:r>
          </w:p>
        </w:tc>
      </w:tr>
    </w:tbl>
    <w:p>
      <w:pPr>
        <w:pStyle w:val="Heading2"/>
        <w:spacing w:before="280" w:after="160"/>
      </w:pPr>
      <w:r>
        <w:rPr>
          <w:rFonts w:ascii="Arial" w:cs="Arial" w:eastAsia="Arial" w:hAnsi="Arial"/>
          <w:b/>
          <w:bCs/>
          <w:color w:val="1B5E8A"/>
          <w:sz w:val="24"/>
          <w:szCs w:val="24"/>
        </w:rPr>
        <w:t xml:space="preserve">12.3 Retention Justification</w:t>
      </w:r>
    </w:p>
    <w:p>
      <w:pPr>
        <w:spacing w:after="100" w:line="276"/>
      </w:pPr>
      <w:r>
        <w:rPr>
          <w:rFonts w:ascii="Arial" w:cs="Arial" w:eastAsia="Arial" w:hAnsi="Arial"/>
          <w:b/>
          <w:bCs/>
          <w:color w:val="1A1A2E"/>
          <w:sz w:val="20"/>
          <w:szCs w:val="20"/>
        </w:rPr>
        <w:t xml:space="preserve">10-Year Retention for Competition Data:</w:t>
      </w:r>
      <w:r>
        <w:rPr>
          <w:rFonts w:ascii="Arial" w:cs="Arial" w:eastAsia="Arial" w:hAnsi="Arial"/>
          <w:color w:val="2C3E50"/>
          <w:sz w:val="20"/>
          <w:szCs w:val="20"/>
        </w:rPr>
        <w:t xml:space="preserve"/>
      </w:r>
    </w:p>
    <w:p>
      <w:pPr>
        <w:spacing w:after="120" w:line="276"/>
      </w:pPr>
      <w:r>
        <w:rPr>
          <w:rFonts w:ascii="Arial" w:cs="Arial" w:eastAsia="Arial" w:hAnsi="Arial"/>
          <w:b w:val="false"/>
          <w:bCs w:val="false"/>
          <w:i w:val="false"/>
          <w:iCs w:val="false"/>
          <w:color w:val="2C3E50"/>
          <w:sz w:val="20"/>
          <w:szCs w:val="20"/>
        </w:rPr>
        <w:t xml:space="preserve">The Monaco Ocean Protection Challenge maintains historical records of competition entries for the following legitimate purposes:</w:t>
      </w:r>
    </w:p>
    <w:p>
      <w:pPr>
        <w:pStyle w:val="ListParagraph"/>
        <w:numPr>
          <w:ilvl w:val="0"/>
          <w:numId w:val="12"/>
        </w:numPr>
        <w:spacing w:after="60" w:line="276"/>
      </w:pPr>
      <w:r>
        <w:rPr>
          <w:rFonts w:ascii="Arial" w:cs="Arial" w:eastAsia="Arial" w:hAnsi="Arial"/>
          <w:color w:val="2C3E50"/>
          <w:sz w:val="20"/>
          <w:szCs w:val="20"/>
        </w:rPr>
        <w:t xml:space="preserve">Historical Documentation: Maintaining a record of ocean conservation initiatives</w:t>
      </w:r>
    </w:p>
    <w:p>
      <w:pPr>
        <w:pStyle w:val="ListParagraph"/>
        <w:numPr>
          <w:ilvl w:val="0"/>
          <w:numId w:val="12"/>
        </w:numPr>
        <w:spacing w:after="60" w:line="276"/>
      </w:pPr>
      <w:r>
        <w:rPr>
          <w:rFonts w:ascii="Arial" w:cs="Arial" w:eastAsia="Arial" w:hAnsi="Arial"/>
          <w:color w:val="2C3E50"/>
          <w:sz w:val="20"/>
          <w:szCs w:val="20"/>
        </w:rPr>
        <w:t xml:space="preserve">Impact Assessment: Tracking long-term outcomes of supported projects</w:t>
      </w:r>
    </w:p>
    <w:p>
      <w:pPr>
        <w:pStyle w:val="ListParagraph"/>
        <w:numPr>
          <w:ilvl w:val="0"/>
          <w:numId w:val="12"/>
        </w:numPr>
        <w:spacing w:after="60" w:line="276"/>
      </w:pPr>
      <w:r>
        <w:rPr>
          <w:rFonts w:ascii="Arial" w:cs="Arial" w:eastAsia="Arial" w:hAnsi="Arial"/>
          <w:color w:val="2C3E50"/>
          <w:sz w:val="20"/>
          <w:szCs w:val="20"/>
        </w:rPr>
        <w:t xml:space="preserve">Alumni Network: Enabling ongoing community engagement</w:t>
      </w:r>
    </w:p>
    <w:p>
      <w:pPr>
        <w:pStyle w:val="ListParagraph"/>
        <w:numPr>
          <w:ilvl w:val="0"/>
          <w:numId w:val="12"/>
        </w:numPr>
        <w:spacing w:after="60" w:line="276"/>
      </w:pPr>
      <w:r>
        <w:rPr>
          <w:rFonts w:ascii="Arial" w:cs="Arial" w:eastAsia="Arial" w:hAnsi="Arial"/>
          <w:color w:val="2C3E50"/>
          <w:sz w:val="20"/>
          <w:szCs w:val="20"/>
        </w:rPr>
        <w:t xml:space="preserve">Audit Requirements: Supporting organisational governance and accountability</w:t>
      </w:r>
    </w:p>
    <w:p>
      <w:pPr>
        <w:pStyle w:val="ListParagraph"/>
        <w:numPr>
          <w:ilvl w:val="0"/>
          <w:numId w:val="12"/>
        </w:numPr>
        <w:spacing w:after="60" w:line="276"/>
      </w:pPr>
      <w:r>
        <w:rPr>
          <w:rFonts w:ascii="Arial" w:cs="Arial" w:eastAsia="Arial" w:hAnsi="Arial"/>
          <w:color w:val="2C3E50"/>
          <w:sz w:val="20"/>
          <w:szCs w:val="20"/>
        </w:rPr>
        <w:t xml:space="preserve">Legal Protection: Preservation for potential legal claims (Monaco’s general prescription period)</w:t>
      </w:r>
    </w:p>
    <w:p>
      <w:pPr>
        <w:spacing w:after="120" w:line="276"/>
      </w:pPr>
      <w:r>
        <w:rPr>
          <w:rFonts w:ascii="Arial" w:cs="Arial" w:eastAsia="Arial" w:hAnsi="Arial"/>
          <w:b w:val="false"/>
          <w:bCs w:val="false"/>
          <w:i w:val="false"/>
          <w:iCs w:val="false"/>
          <w:color w:val="2C3E50"/>
          <w:sz w:val="20"/>
          <w:szCs w:val="20"/>
        </w:rPr>
        <w:t xml:space="preserve">After 10 years, data is anonymised and retained only in aggregate statistical form.</w:t>
      </w:r>
    </w:p>
    <w:p>
      <w:pPr>
        <w:pStyle w:val="Heading2"/>
        <w:spacing w:before="280" w:after="160"/>
      </w:pPr>
      <w:r>
        <w:rPr>
          <w:rFonts w:ascii="Arial" w:cs="Arial" w:eastAsia="Arial" w:hAnsi="Arial"/>
          <w:b/>
          <w:bCs/>
          <w:color w:val="1B5E8A"/>
          <w:sz w:val="24"/>
          <w:szCs w:val="24"/>
        </w:rPr>
        <w:t xml:space="preserve">12.4 Anonymisation Process</w:t>
      </w:r>
    </w:p>
    <w:p>
      <w:pPr>
        <w:spacing w:after="120" w:line="276"/>
      </w:pPr>
      <w:r>
        <w:rPr>
          <w:rFonts w:ascii="Arial" w:cs="Arial" w:eastAsia="Arial" w:hAnsi="Arial"/>
          <w:b w:val="false"/>
          <w:bCs w:val="false"/>
          <w:i w:val="false"/>
          <w:iCs w:val="false"/>
          <w:color w:val="2C3E50"/>
          <w:sz w:val="20"/>
          <w:szCs w:val="20"/>
        </w:rPr>
        <w:t xml:space="preserve">When data reaches the end of its retention period, personal identifiers are removed (names replaced with “Anonymous”, email addresses and phone numbers deleted, team names generalised), content is preserved in anonymised form (project descriptions, evaluation scores, geographic data at country level only), and the process is verified to ensure re-identification is not possible.</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13. Cookies and Tracking Technologies</w:t>
      </w:r>
    </w:p>
    <w:p>
      <w:pPr>
        <w:pStyle w:val="Heading2"/>
        <w:spacing w:before="280" w:after="160"/>
      </w:pPr>
      <w:r>
        <w:rPr>
          <w:rFonts w:ascii="Arial" w:cs="Arial" w:eastAsia="Arial" w:hAnsi="Arial"/>
          <w:b/>
          <w:bCs/>
          <w:color w:val="1B5E8A"/>
          <w:sz w:val="24"/>
          <w:szCs w:val="24"/>
        </w:rPr>
        <w:t xml:space="preserve">13.1 Cookie Policy</w:t>
      </w:r>
    </w:p>
    <w:p>
      <w:pPr>
        <w:spacing w:after="120" w:line="276"/>
      </w:pPr>
      <w:r>
        <w:rPr>
          <w:rFonts w:ascii="Arial" w:cs="Arial" w:eastAsia="Arial" w:hAnsi="Arial"/>
          <w:b w:val="false"/>
          <w:bCs w:val="false"/>
          <w:i w:val="false"/>
          <w:iCs w:val="false"/>
          <w:color w:val="2C3E50"/>
          <w:sz w:val="20"/>
          <w:szCs w:val="20"/>
        </w:rPr>
        <w:t xml:space="preserve">The Platform uses only essential cookies required for functionality. No tracking, advertising, or analytics cookies are used.</w:t>
      </w:r>
    </w:p>
    <w:p>
      <w:pPr>
        <w:pStyle w:val="Heading2"/>
        <w:spacing w:before="280" w:after="160"/>
      </w:pPr>
      <w:r>
        <w:rPr>
          <w:rFonts w:ascii="Arial" w:cs="Arial" w:eastAsia="Arial" w:hAnsi="Arial"/>
          <w:b/>
          <w:bCs/>
          <w:color w:val="1B5E8A"/>
          <w:sz w:val="24"/>
          <w:szCs w:val="24"/>
        </w:rPr>
        <w:t xml:space="preserve">13.2 Essential Cookies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2000"/>
        <w:gridCol w:w="19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Cookie Name</w:t>
            </w:r>
          </w:p>
        </w:tc>
        <w:tc>
          <w:tcPr>
            <w:tcW w:type="dxa" w:w="3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Duration</w:t>
            </w:r>
          </w:p>
        </w:tc>
        <w:tc>
          <w:tcPr>
            <w:tcW w:type="dxa" w:w="1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Type</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authjs.session-token</w:t>
            </w:r>
          </w:p>
        </w:tc>
        <w:tc>
          <w:tcPr>
            <w:tcW w:type="dxa" w:w="3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User authentication session</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Session / Configurable</w:t>
            </w:r>
          </w:p>
        </w:tc>
        <w:tc>
          <w:tcPr>
            <w:tcW w:type="dxa" w:w="1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Strictly Necessary</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authjs.csrf-token</w:t>
            </w:r>
          </w:p>
        </w:tc>
        <w:tc>
          <w:tcPr>
            <w:tcW w:type="dxa" w:w="3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CSRF attack prevention</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Session</w:t>
            </w:r>
          </w:p>
        </w:tc>
        <w:tc>
          <w:tcPr>
            <w:tcW w:type="dxa" w:w="1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Strictly Necessary</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authjs.callback-url</w:t>
            </w:r>
          </w:p>
        </w:tc>
        <w:tc>
          <w:tcPr>
            <w:tcW w:type="dxa" w:w="3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Redirect after authentication</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Session</w:t>
            </w:r>
          </w:p>
        </w:tc>
        <w:tc>
          <w:tcPr>
            <w:tcW w:type="dxa" w:w="1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Strictly Necessary</w:t>
            </w:r>
          </w:p>
        </w:tc>
      </w:tr>
    </w:tbl>
    <w:p>
      <w:pPr>
        <w:pStyle w:val="Heading2"/>
        <w:spacing w:before="280" w:after="160"/>
      </w:pPr>
      <w:r>
        <w:rPr>
          <w:rFonts w:ascii="Arial" w:cs="Arial" w:eastAsia="Arial" w:hAnsi="Arial"/>
          <w:b/>
          <w:bCs/>
          <w:color w:val="1B5E8A"/>
          <w:sz w:val="24"/>
          <w:szCs w:val="24"/>
        </w:rPr>
        <w:t xml:space="preserve">13.3 Cookies Not Used</w:t>
      </w:r>
    </w:p>
    <w:p>
      <w:pPr>
        <w:spacing w:after="120" w:line="276"/>
      </w:pPr>
      <w:r>
        <w:rPr>
          <w:rFonts w:ascii="Arial" w:cs="Arial" w:eastAsia="Arial" w:hAnsi="Arial"/>
          <w:b w:val="false"/>
          <w:bCs w:val="false"/>
          <w:i w:val="false"/>
          <w:iCs w:val="false"/>
          <w:color w:val="2C3E50"/>
          <w:sz w:val="20"/>
          <w:szCs w:val="20"/>
        </w:rPr>
        <w:t xml:space="preserve">The Platform does not use: Analytics cookies (Google Analytics, etc.), Advertising cookies, Social media tracking cookies, Third-party cookies, Fingerprinting technologies, or Tracking pixels.</w:t>
      </w:r>
    </w:p>
    <w:p>
      <w:pPr>
        <w:pStyle w:val="Heading2"/>
        <w:spacing w:before="280" w:after="160"/>
      </w:pPr>
      <w:r>
        <w:rPr>
          <w:rFonts w:ascii="Arial" w:cs="Arial" w:eastAsia="Arial" w:hAnsi="Arial"/>
          <w:b/>
          <w:bCs/>
          <w:color w:val="1B5E8A"/>
          <w:sz w:val="24"/>
          <w:szCs w:val="24"/>
        </w:rPr>
        <w:t xml:space="preserve">13.4 Cookie Consent</w:t>
      </w:r>
    </w:p>
    <w:p>
      <w:pPr>
        <w:spacing w:after="120" w:line="276"/>
      </w:pPr>
      <w:r>
        <w:rPr>
          <w:rFonts w:ascii="Arial" w:cs="Arial" w:eastAsia="Arial" w:hAnsi="Arial"/>
          <w:b w:val="false"/>
          <w:bCs w:val="false"/>
          <w:i w:val="false"/>
          <w:iCs w:val="false"/>
          <w:color w:val="2C3E50"/>
          <w:sz w:val="20"/>
          <w:szCs w:val="20"/>
        </w:rPr>
        <w:t xml:space="preserve">As only strictly necessary cookies are used, explicit cookie consent is not required under GDPR Article 5(3) of the ePrivacy Directive. Users are informed of cookie use in the Privacy Policy.</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14. Data Protection Impact Assessments</w:t>
      </w:r>
    </w:p>
    <w:p>
      <w:pPr>
        <w:pStyle w:val="Heading2"/>
        <w:spacing w:before="280" w:after="160"/>
      </w:pPr>
      <w:r>
        <w:rPr>
          <w:rFonts w:ascii="Arial" w:cs="Arial" w:eastAsia="Arial" w:hAnsi="Arial"/>
          <w:b/>
          <w:bCs/>
          <w:color w:val="1B5E8A"/>
          <w:sz w:val="24"/>
          <w:szCs w:val="24"/>
        </w:rPr>
        <w:t xml:space="preserve">14.1 DPIA Requirement</w:t>
      </w:r>
    </w:p>
    <w:p>
      <w:pPr>
        <w:spacing w:after="120" w:line="276"/>
      </w:pPr>
      <w:r>
        <w:rPr>
          <w:rFonts w:ascii="Arial" w:cs="Arial" w:eastAsia="Arial" w:hAnsi="Arial"/>
          <w:b w:val="false"/>
          <w:bCs w:val="false"/>
          <w:i w:val="false"/>
          <w:iCs w:val="false"/>
          <w:color w:val="2C3E50"/>
          <w:sz w:val="20"/>
          <w:szCs w:val="20"/>
        </w:rPr>
        <w:t xml:space="preserve">Data Protection Impact Assessments are conducted for processing activities that are likely to result in high risk to the rights and freedoms of natural persons, including systematic and extensive evaluation of personal aspects (profiling), processing of special categories of data on a large scale, systematic monitoring of publicly accessible areas, and use of new technologies.</w:t>
      </w:r>
    </w:p>
    <w:p>
      <w:pPr>
        <w:pStyle w:val="Heading2"/>
        <w:spacing w:before="280" w:after="160"/>
      </w:pPr>
      <w:r>
        <w:rPr>
          <w:rFonts w:ascii="Arial" w:cs="Arial" w:eastAsia="Arial" w:hAnsi="Arial"/>
          <w:b/>
          <w:bCs/>
          <w:color w:val="1B5E8A"/>
          <w:sz w:val="24"/>
          <w:szCs w:val="24"/>
        </w:rPr>
        <w:t xml:space="preserve">14.2 Completed DPIAs</w:t>
      </w:r>
    </w:p>
    <w:p>
      <w:pPr>
        <w:spacing w:before="200" w:after="120"/>
      </w:pPr>
      <w:r>
        <w:rPr>
          <w:rFonts w:ascii="Arial" w:cs="Arial" w:eastAsia="Arial" w:hAnsi="Arial"/>
          <w:b/>
          <w:bCs/>
          <w:color w:val="1B5E8A"/>
          <w:sz w:val="22"/>
          <w:szCs w:val="22"/>
        </w:rPr>
        <w:t xml:space="preserve">14.2.1 AI-Assisted Processing DPIA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Aspect</w:t>
            </w:r>
          </w:p>
        </w:tc>
        <w:tc>
          <w:tcPr>
            <w:tcW w:type="dxa" w:w="65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Assessment</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Activity</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AI-powered filtering, assignment, eligibility, and matching</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Risk Identified</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Personal data exposure to third-party AI provider</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Likelihood</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Very Low (data is anonymised)</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Severity</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Low (even if exposed, data is anonymised)</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Mitigation Measures</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Full anonymisation before processing, EU data residency, zero data retention, no PII transmitted</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Residual Risk</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Very Low</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Conclusion</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may proceed with implemented safeguards</w:t>
            </w:r>
          </w:p>
        </w:tc>
      </w:tr>
    </w:tbl>
    <w:p>
      <w:pPr>
        <w:spacing w:before="200" w:after="120"/>
      </w:pPr>
      <w:r>
        <w:rPr>
          <w:rFonts w:ascii="Arial" w:cs="Arial" w:eastAsia="Arial" w:hAnsi="Arial"/>
          <w:b/>
          <w:bCs/>
          <w:color w:val="1B5E8A"/>
          <w:sz w:val="22"/>
          <w:szCs w:val="22"/>
        </w:rPr>
        <w:t xml:space="preserve">14.2.2 Large-Scale Evaluation Processing DPIA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Aspect</w:t>
            </w:r>
          </w:p>
        </w:tc>
        <w:tc>
          <w:tcPr>
            <w:tcW w:type="dxa" w:w="65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Assessment</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Activity</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Collection and processing of evaluation scores and comments</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Risk Identified</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Subjective opinions about projects/individuals</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Likelihood</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Low</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Severity</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Medium (could affect reputation if disclosed)</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Mitigation Measures</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Strict access controls, audit logging, evaluator confidentiality agreements</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Residual Risk</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Low</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Conclusion</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may proceed with implemented safeguards</w:t>
            </w:r>
          </w:p>
        </w:tc>
      </w:tr>
    </w:tbl>
    <w:p>
      <w:pPr>
        <w:spacing w:before="200" w:after="120"/>
      </w:pPr>
      <w:r>
        <w:rPr>
          <w:rFonts w:ascii="Arial" w:cs="Arial" w:eastAsia="Arial" w:hAnsi="Arial"/>
          <w:b/>
          <w:bCs/>
          <w:color w:val="1B5E8A"/>
          <w:sz w:val="22"/>
          <w:szCs w:val="22"/>
        </w:rPr>
        <w:t xml:space="preserve">14.2.3 File Upload Processing DPIA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Aspect</w:t>
            </w:r>
          </w:p>
        </w:tc>
        <w:tc>
          <w:tcPr>
            <w:tcW w:type="dxa" w:w="65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Assessment</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Activity</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Upload and storage of project documents, videos, images</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Risk Identified</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Sensitive content in uploaded files</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Likelihood</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Medium (users control uploads)</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Severity</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Medium</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Mitigation Measures</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Access controls, pre-signed URLs, file type restrictions, virus scanning</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Residual Risk</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Low-Medium</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Conclusion</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may proceed with user guidance on appropriate content</w:t>
            </w:r>
          </w:p>
        </w:tc>
      </w:tr>
    </w:tbl>
    <w:p>
      <w:pPr>
        <w:pStyle w:val="Heading2"/>
        <w:spacing w:before="280" w:after="160"/>
      </w:pPr>
      <w:r>
        <w:rPr>
          <w:rFonts w:ascii="Arial" w:cs="Arial" w:eastAsia="Arial" w:hAnsi="Arial"/>
          <w:b/>
          <w:bCs/>
          <w:color w:val="1B5E8A"/>
          <w:sz w:val="24"/>
          <w:szCs w:val="24"/>
        </w:rPr>
        <w:t xml:space="preserve">14.3 DPIA Review Schedule</w:t>
      </w:r>
    </w:p>
    <w:p>
      <w:pPr>
        <w:spacing w:after="120" w:line="276"/>
      </w:pPr>
      <w:r>
        <w:rPr>
          <w:rFonts w:ascii="Arial" w:cs="Arial" w:eastAsia="Arial" w:hAnsi="Arial"/>
          <w:b w:val="false"/>
          <w:bCs w:val="false"/>
          <w:i w:val="false"/>
          <w:iCs w:val="false"/>
          <w:color w:val="2C3E50"/>
          <w:sz w:val="20"/>
          <w:szCs w:val="20"/>
        </w:rPr>
        <w:t xml:space="preserve">DPIAs are reviewed annually as part of compliance review, when significant changes to processing occur, when new technologies are introduced, and following any relevant security incident.</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15. Data Breach Notification Procedures</w:t>
      </w:r>
    </w:p>
    <w:p>
      <w:pPr>
        <w:pStyle w:val="Heading2"/>
        <w:spacing w:before="280" w:after="160"/>
      </w:pPr>
      <w:r>
        <w:rPr>
          <w:rFonts w:ascii="Arial" w:cs="Arial" w:eastAsia="Arial" w:hAnsi="Arial"/>
          <w:b/>
          <w:bCs/>
          <w:color w:val="1B5E8A"/>
          <w:sz w:val="24"/>
          <w:szCs w:val="24"/>
        </w:rPr>
        <w:t xml:space="preserve">15.1 Definition of Personal Data Breach</w:t>
      </w:r>
    </w:p>
    <w:p>
      <w:pPr>
        <w:spacing w:after="120" w:line="276"/>
      </w:pPr>
      <w:r>
        <w:rPr>
          <w:rFonts w:ascii="Arial" w:cs="Arial" w:eastAsia="Arial" w:hAnsi="Arial"/>
          <w:b w:val="false"/>
          <w:bCs w:val="false"/>
          <w:i w:val="false"/>
          <w:iCs w:val="false"/>
          <w:color w:val="2C3E50"/>
          <w:sz w:val="20"/>
          <w:szCs w:val="20"/>
        </w:rPr>
        <w:t xml:space="preserve">A personal data breach is a breach of security leading to the accidental or unlawful destruction, loss, alteration, unauthorised disclosure of, or unauthorised access to personal data transmitted, stored or otherwise processed.</w:t>
      </w:r>
    </w:p>
    <w:p>
      <w:pPr>
        <w:pStyle w:val="Heading2"/>
        <w:spacing w:before="280" w:after="160"/>
      </w:pPr>
      <w:r>
        <w:rPr>
          <w:rFonts w:ascii="Arial" w:cs="Arial" w:eastAsia="Arial" w:hAnsi="Arial"/>
          <w:b/>
          <w:bCs/>
          <w:color w:val="1B5E8A"/>
          <w:sz w:val="24"/>
          <w:szCs w:val="24"/>
        </w:rPr>
        <w:t xml:space="preserve">15.2 Breach Detection</w:t>
      </w:r>
    </w:p>
    <w:p>
      <w:pPr>
        <w:spacing w:after="120" w:line="276"/>
      </w:pPr>
      <w:r>
        <w:rPr>
          <w:rFonts w:ascii="Arial" w:cs="Arial" w:eastAsia="Arial" w:hAnsi="Arial"/>
          <w:b w:val="false"/>
          <w:bCs w:val="false"/>
          <w:i w:val="false"/>
          <w:iCs w:val="false"/>
          <w:color w:val="2C3E50"/>
          <w:sz w:val="20"/>
          <w:szCs w:val="20"/>
        </w:rPr>
        <w:t xml:space="preserve">Potential breaches may be detected through automated security monitoring and alerting, user reports, administrator observation, third-party notification, and security audit findings.</w:t>
      </w:r>
    </w:p>
    <w:p>
      <w:pPr>
        <w:pStyle w:val="Heading2"/>
        <w:spacing w:before="280" w:after="160"/>
      </w:pPr>
      <w:r>
        <w:rPr>
          <w:rFonts w:ascii="Arial" w:cs="Arial" w:eastAsia="Arial" w:hAnsi="Arial"/>
          <w:b/>
          <w:bCs/>
          <w:color w:val="1B5E8A"/>
          <w:sz w:val="24"/>
          <w:szCs w:val="24"/>
        </w:rPr>
        <w:t xml:space="preserve">15.3 Breach Response Procedure</w:t>
      </w:r>
    </w:p>
    <w:p>
      <w:pPr>
        <w:spacing w:before="200" w:after="120"/>
      </w:pPr>
      <w:r>
        <w:rPr>
          <w:rFonts w:ascii="Arial" w:cs="Arial" w:eastAsia="Arial" w:hAnsi="Arial"/>
          <w:b/>
          <w:bCs/>
          <w:color w:val="1B5E8A"/>
          <w:sz w:val="22"/>
          <w:szCs w:val="22"/>
        </w:rPr>
        <w:t xml:space="preserve">Phase 1: Identification and Containment (0–24 hours)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5760"/>
        <w:gridCol w:w="2400"/>
      </w:tblGrid>
      <w:tr>
        <w:trPr>
          <w:tblHeader/>
        </w:trPr>
        <w:tc>
          <w:tcPr>
            <w:tcW w:type="dxa" w:w="1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Step</w:t>
            </w:r>
          </w:p>
        </w:tc>
        <w:tc>
          <w:tcPr>
            <w:tcW w:type="dxa" w:w="57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Action</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Responsible</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w:t>
            </w:r>
          </w:p>
        </w:tc>
        <w:tc>
          <w:tcPr>
            <w:tcW w:type="dxa" w:w="5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Confirm breach has occurred</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IT Administrator</w:t>
            </w:r>
          </w:p>
        </w:tc>
      </w:tr>
      <w:tr>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2</w:t>
            </w:r>
          </w:p>
        </w:tc>
        <w:tc>
          <w:tcPr>
            <w:tcW w:type="dxa" w:w="5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Contain the breach (isolate systems, revoke access)</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IT Administrator</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3</w:t>
            </w:r>
          </w:p>
        </w:tc>
        <w:tc>
          <w:tcPr>
            <w:tcW w:type="dxa" w:w="5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Preserve evidence</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IT Administrator</w:t>
            </w:r>
          </w:p>
        </w:tc>
      </w:tr>
      <w:tr>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4</w:t>
            </w:r>
          </w:p>
        </w:tc>
        <w:tc>
          <w:tcPr>
            <w:tcW w:type="dxa" w:w="5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Initial assessment of scope and severity</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IT Administrator</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5</w:t>
            </w:r>
          </w:p>
        </w:tc>
        <w:tc>
          <w:tcPr>
            <w:tcW w:type="dxa" w:w="5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Notify Data Protection Contact</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IT Administrator</w:t>
            </w:r>
          </w:p>
        </w:tc>
      </w:tr>
    </w:tbl>
    <w:p>
      <w:pPr>
        <w:spacing w:before="200" w:after="120"/>
      </w:pPr>
      <w:r>
        <w:rPr>
          <w:rFonts w:ascii="Arial" w:cs="Arial" w:eastAsia="Arial" w:hAnsi="Arial"/>
          <w:b/>
          <w:bCs/>
          <w:color w:val="1B5E8A"/>
          <w:sz w:val="22"/>
          <w:szCs w:val="22"/>
        </w:rPr>
        <w:t xml:space="preserve">Phase 2: Assessment (24–48 hours)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5760"/>
        <w:gridCol w:w="2400"/>
      </w:tblGrid>
      <w:tr>
        <w:trPr>
          <w:tblHeader/>
        </w:trPr>
        <w:tc>
          <w:tcPr>
            <w:tcW w:type="dxa" w:w="1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Step</w:t>
            </w:r>
          </w:p>
        </w:tc>
        <w:tc>
          <w:tcPr>
            <w:tcW w:type="dxa" w:w="57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Action</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Responsible</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6</w:t>
            </w:r>
          </w:p>
        </w:tc>
        <w:tc>
          <w:tcPr>
            <w:tcW w:type="dxa" w:w="5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Identify affected data categories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r>
      <w:tr>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7</w:t>
            </w:r>
          </w:p>
        </w:tc>
        <w:tc>
          <w:tcPr>
            <w:tcW w:type="dxa" w:w="5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Identify number of affected individuals</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8</w:t>
            </w:r>
          </w:p>
        </w:tc>
        <w:tc>
          <w:tcPr>
            <w:tcW w:type="dxa" w:w="5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Assess risk to individuals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r>
      <w:tr>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9</w:t>
            </w:r>
          </w:p>
        </w:tc>
        <w:tc>
          <w:tcPr>
            <w:tcW w:type="dxa" w:w="5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Document findings</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10</w:t>
            </w:r>
          </w:p>
        </w:tc>
        <w:tc>
          <w:tcPr>
            <w:tcW w:type="dxa" w:w="5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Determine notification requirements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r>
    </w:tbl>
    <w:p>
      <w:pPr>
        <w:spacing w:before="200" w:after="120"/>
      </w:pPr>
      <w:r>
        <w:rPr>
          <w:rFonts w:ascii="Arial" w:cs="Arial" w:eastAsia="Arial" w:hAnsi="Arial"/>
          <w:b/>
          <w:bCs/>
          <w:color w:val="1B5E8A"/>
          <w:sz w:val="22"/>
          <w:szCs w:val="22"/>
        </w:rPr>
        <w:t xml:space="preserve">Phase 3: Notification (Within 72 hours of awareness)</w:t>
      </w:r>
    </w:p>
    <w:p>
      <w:pPr>
        <w:spacing w:after="100" w:line="276"/>
      </w:pPr>
      <w:r>
        <w:rPr>
          <w:rFonts w:ascii="Arial" w:cs="Arial" w:eastAsia="Arial" w:hAnsi="Arial"/>
          <w:b/>
          <w:bCs/>
          <w:color w:val="1A1A2E"/>
          <w:sz w:val="20"/>
          <w:szCs w:val="20"/>
        </w:rPr>
        <w:t xml:space="preserve">Supervisory Authority Notification: </w:t>
      </w:r>
      <w:r>
        <w:rPr>
          <w:rFonts w:ascii="Arial" w:cs="Arial" w:eastAsia="Arial" w:hAnsi="Arial"/>
          <w:color w:val="2C3E50"/>
          <w:sz w:val="20"/>
          <w:szCs w:val="20"/>
        </w:rPr>
        <w:t xml:space="preserve">Required if the breach is likely to result in a risk to the rights and freedoms of natural persons.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Element</w:t>
            </w:r>
          </w:p>
        </w:tc>
        <w:tc>
          <w:tcPr>
            <w:tcW w:type="dxa" w:w="6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Details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Authority</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Autorité de Protection des Données Personnelles (APDP)</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Timeframe</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Within 72 hours of becoming aware</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Content</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Nature of breach, categories and approximate number of data subjects and records, likely consequences, measures taken or proposed</w:t>
            </w:r>
          </w:p>
        </w:tc>
      </w:tr>
    </w:tbl>
    <w:p>
      <w:pPr>
        <w:spacing w:after="60"/>
      </w:pPr>
    </w:p>
    <w:p>
      <w:pPr>
        <w:spacing w:after="100" w:line="276"/>
      </w:pPr>
      <w:r>
        <w:rPr>
          <w:rFonts w:ascii="Arial" w:cs="Arial" w:eastAsia="Arial" w:hAnsi="Arial"/>
          <w:b/>
          <w:bCs/>
          <w:color w:val="1A1A2E"/>
          <w:sz w:val="20"/>
          <w:szCs w:val="20"/>
        </w:rPr>
        <w:t xml:space="preserve">Data Subject Notification: </w:t>
      </w:r>
      <w:r>
        <w:rPr>
          <w:rFonts w:ascii="Arial" w:cs="Arial" w:eastAsia="Arial" w:hAnsi="Arial"/>
          <w:color w:val="2C3E50"/>
          <w:sz w:val="20"/>
          <w:szCs w:val="20"/>
        </w:rPr>
        <w:t xml:space="preserve">Required if the breach is likely to result in a high risk to rights and freedoms.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Element</w:t>
            </w:r>
          </w:p>
        </w:tc>
        <w:tc>
          <w:tcPr>
            <w:tcW w:type="dxa" w:w="6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Details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Timeframe</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Without undue delay</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Method</w:t>
            </w:r>
          </w:p>
        </w:tc>
        <w:tc>
          <w:tcPr>
            <w:tcW w:type="dxa" w:w="6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Email to affected individuals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Content</w:t>
            </w:r>
          </w:p>
        </w:tc>
        <w:tc>
          <w:tcPr>
            <w:tcW w:type="dxa" w:w="6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Plain language description of breach, likely consequences, measures taken, recommendations for individuals, contact point</w:t>
            </w:r>
          </w:p>
        </w:tc>
      </w:tr>
    </w:tbl>
    <w:p>
      <w:pPr>
        <w:spacing w:after="120" w:line="276"/>
      </w:pPr>
      <w:r>
        <w:rPr>
          <w:rFonts w:ascii="Arial" w:cs="Arial" w:eastAsia="Arial" w:hAnsi="Arial"/>
          <w:b w:val="false"/>
          <w:bCs w:val="false"/>
          <w:i w:val="false"/>
          <w:iCs w:val="false"/>
          <w:color w:val="2C3E50"/>
          <w:sz w:val="20"/>
          <w:szCs w:val="20"/>
        </w:rPr>
        <w:t xml:space="preserve">Exception: Notification to data subjects is not required if appropriate technical measures rendered data unintelligible (encryption), subsequent measures eliminate high risk, or individual notification would involve disproportionate effort (public communication alternative).</w:t>
      </w:r>
    </w:p>
    <w:p>
      <w:pPr>
        <w:spacing w:before="200" w:after="120"/>
      </w:pPr>
      <w:r>
        <w:rPr>
          <w:rFonts w:ascii="Arial" w:cs="Arial" w:eastAsia="Arial" w:hAnsi="Arial"/>
          <w:b/>
          <w:bCs/>
          <w:color w:val="1B5E8A"/>
          <w:sz w:val="22"/>
          <w:szCs w:val="22"/>
        </w:rPr>
        <w:t xml:space="preserve">Phase 4: Remediation and Review (Post-incident)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5760"/>
        <w:gridCol w:w="2400"/>
      </w:tblGrid>
      <w:tr>
        <w:trPr>
          <w:tblHeader/>
        </w:trPr>
        <w:tc>
          <w:tcPr>
            <w:tcW w:type="dxa" w:w="1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Step</w:t>
            </w:r>
          </w:p>
        </w:tc>
        <w:tc>
          <w:tcPr>
            <w:tcW w:type="dxa" w:w="57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Action</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Responsible</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11</w:t>
            </w:r>
          </w:p>
        </w:tc>
        <w:tc>
          <w:tcPr>
            <w:tcW w:type="dxa" w:w="5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Implement remediation measures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IT Administrator</w:t>
            </w:r>
          </w:p>
        </w:tc>
      </w:tr>
      <w:tr>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12</w:t>
            </w:r>
          </w:p>
        </w:tc>
        <w:tc>
          <w:tcPr>
            <w:tcW w:type="dxa" w:w="5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Verify effectiveness of remediation</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IT Administrator</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13</w:t>
            </w:r>
          </w:p>
        </w:tc>
        <w:tc>
          <w:tcPr>
            <w:tcW w:type="dxa" w:w="5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Conduct post-incident review</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r>
      <w:tr>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14</w:t>
            </w:r>
          </w:p>
        </w:tc>
        <w:tc>
          <w:tcPr>
            <w:tcW w:type="dxa" w:w="5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Update procedures as needed</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15</w:t>
            </w:r>
          </w:p>
        </w:tc>
        <w:tc>
          <w:tcPr>
            <w:tcW w:type="dxa" w:w="5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 breach register entry</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r>
    </w:tbl>
    <w:p>
      <w:pPr>
        <w:pStyle w:val="Heading2"/>
        <w:spacing w:before="280" w:after="160"/>
      </w:pPr>
      <w:r>
        <w:rPr>
          <w:rFonts w:ascii="Arial" w:cs="Arial" w:eastAsia="Arial" w:hAnsi="Arial"/>
          <w:b/>
          <w:bCs/>
          <w:color w:val="1B5E8A"/>
          <w:sz w:val="24"/>
          <w:szCs w:val="24"/>
        </w:rPr>
        <w:t xml:space="preserve">15.4 Breach Register</w:t>
      </w:r>
    </w:p>
    <w:p>
      <w:pPr>
        <w:spacing w:after="120" w:line="276"/>
      </w:pPr>
      <w:r>
        <w:rPr>
          <w:rFonts w:ascii="Arial" w:cs="Arial" w:eastAsia="Arial" w:hAnsi="Arial"/>
          <w:b w:val="false"/>
          <w:bCs w:val="false"/>
          <w:i w:val="false"/>
          <w:iCs w:val="false"/>
          <w:color w:val="2C3E50"/>
          <w:sz w:val="20"/>
          <w:szCs w:val="20"/>
        </w:rPr>
        <w:t xml:space="preserve">All breaches, regardless of notification requirement, are documented in a breach register including: date and time of breach, date and time of discovery, nature of breach, categories of data affected, approximate number of data subjects affected, likely consequences, measures taken, and notification decisions and dates.</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16. Training and Awareness</w:t>
      </w:r>
    </w:p>
    <w:p>
      <w:pPr>
        <w:pStyle w:val="Heading2"/>
        <w:spacing w:before="280" w:after="160"/>
      </w:pPr>
      <w:r>
        <w:rPr>
          <w:rFonts w:ascii="Arial" w:cs="Arial" w:eastAsia="Arial" w:hAnsi="Arial"/>
          <w:b/>
          <w:bCs/>
          <w:color w:val="1B5E8A"/>
          <w:sz w:val="24"/>
          <w:szCs w:val="24"/>
        </w:rPr>
        <w:t xml:space="preserve">16.1 Training Programme</w:t>
      </w:r>
    </w:p>
    <w:p>
      <w:pPr>
        <w:spacing w:after="120" w:line="276"/>
      </w:pPr>
      <w:r>
        <w:rPr>
          <w:rFonts w:ascii="Arial" w:cs="Arial" w:eastAsia="Arial" w:hAnsi="Arial"/>
          <w:b w:val="false"/>
          <w:bCs w:val="false"/>
          <w:i w:val="false"/>
          <w:iCs w:val="false"/>
          <w:color w:val="2C3E50"/>
          <w:sz w:val="20"/>
          <w:szCs w:val="20"/>
        </w:rPr>
        <w:t xml:space="preserve">All personnel with access to personal data receive training 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2800"/>
        <w:gridCol w:w="2760"/>
      </w:tblGrid>
      <w:tr>
        <w:trPr>
          <w:tblHeader/>
        </w:trPr>
        <w:tc>
          <w:tcPr>
            <w:tcW w:type="dxa" w:w="3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Topic</w:t>
            </w:r>
          </w:p>
        </w:tc>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Frequency</w:t>
            </w:r>
          </w:p>
        </w:tc>
        <w:tc>
          <w:tcPr>
            <w:tcW w:type="dxa" w:w="27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Audience</w:t>
            </w:r>
          </w:p>
        </w:tc>
      </w:tr>
      <w:tr>
        <w:tc>
          <w:tcPr>
            <w:tcW w:type="dxa" w:w="3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principles</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Onboarding + Annual</w:t>
            </w:r>
          </w:p>
        </w:tc>
        <w:tc>
          <w:tcPr>
            <w:tcW w:type="dxa" w:w="2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All staff</w:t>
            </w:r>
          </w:p>
        </w:tc>
      </w:tr>
      <w:tr>
        <w:tc>
          <w:tcPr>
            <w:tcW w:type="dxa" w:w="3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Platform-specific data handling</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Onboarding</w:t>
            </w:r>
          </w:p>
        </w:tc>
        <w:tc>
          <w:tcPr>
            <w:tcW w:type="dxa" w:w="2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All staff</w:t>
            </w:r>
          </w:p>
        </w:tc>
      </w:tr>
      <w:tr>
        <w:tc>
          <w:tcPr>
            <w:tcW w:type="dxa" w:w="3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awareness</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Annual</w:t>
            </w:r>
          </w:p>
        </w:tc>
        <w:tc>
          <w:tcPr>
            <w:tcW w:type="dxa" w:w="2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All staff</w:t>
            </w:r>
          </w:p>
        </w:tc>
      </w:tr>
      <w:tr>
        <w:tc>
          <w:tcPr>
            <w:tcW w:type="dxa" w:w="3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Breach identification and reporting</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Annual</w:t>
            </w:r>
          </w:p>
        </w:tc>
        <w:tc>
          <w:tcPr>
            <w:tcW w:type="dxa" w:w="2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All staff</w:t>
            </w:r>
          </w:p>
        </w:tc>
      </w:tr>
      <w:tr>
        <w:tc>
          <w:tcPr>
            <w:tcW w:type="dxa" w:w="3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subject rights handling</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Annual</w:t>
            </w:r>
          </w:p>
        </w:tc>
        <w:tc>
          <w:tcPr>
            <w:tcW w:type="dxa" w:w="2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Administrators</w:t>
            </w:r>
          </w:p>
        </w:tc>
      </w:tr>
      <w:tr>
        <w:tc>
          <w:tcPr>
            <w:tcW w:type="dxa" w:w="3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DPIA methodology</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As needed</w:t>
            </w:r>
          </w:p>
        </w:tc>
        <w:tc>
          <w:tcPr>
            <w:tcW w:type="dxa" w:w="2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Protection Contact</w:t>
            </w:r>
          </w:p>
        </w:tc>
      </w:tr>
    </w:tbl>
    <w:p>
      <w:pPr>
        <w:pStyle w:val="Heading2"/>
        <w:spacing w:before="280" w:after="160"/>
      </w:pPr>
      <w:r>
        <w:rPr>
          <w:rFonts w:ascii="Arial" w:cs="Arial" w:eastAsia="Arial" w:hAnsi="Arial"/>
          <w:b/>
          <w:bCs/>
          <w:color w:val="1B5E8A"/>
          <w:sz w:val="24"/>
          <w:szCs w:val="24"/>
        </w:rPr>
        <w:t xml:space="preserve">16.2 Awareness Activities</w:t>
      </w:r>
    </w:p>
    <w:p>
      <w:pPr>
        <w:pStyle w:val="ListParagraph"/>
        <w:numPr>
          <w:ilvl w:val="0"/>
          <w:numId w:val="3"/>
        </w:numPr>
        <w:spacing w:after="60" w:line="276"/>
      </w:pPr>
      <w:r>
        <w:rPr>
          <w:rFonts w:ascii="Arial" w:cs="Arial" w:eastAsia="Arial" w:hAnsi="Arial"/>
          <w:color w:val="2C3E50"/>
          <w:sz w:val="20"/>
          <w:szCs w:val="20"/>
        </w:rPr>
        <w:t xml:space="preserve">Privacy notices displayed at data collection points</w:t>
      </w:r>
    </w:p>
    <w:p>
      <w:pPr>
        <w:pStyle w:val="ListParagraph"/>
        <w:numPr>
          <w:ilvl w:val="0"/>
          <w:numId w:val="3"/>
        </w:numPr>
        <w:spacing w:after="60" w:line="276"/>
      </w:pPr>
      <w:r>
        <w:rPr>
          <w:rFonts w:ascii="Arial" w:cs="Arial" w:eastAsia="Arial" w:hAnsi="Arial"/>
          <w:color w:val="2C3E50"/>
          <w:sz w:val="20"/>
          <w:szCs w:val="20"/>
        </w:rPr>
        <w:t xml:space="preserve">Regular reminders about data handling practices</w:t>
      </w:r>
    </w:p>
    <w:p>
      <w:pPr>
        <w:pStyle w:val="ListParagraph"/>
        <w:numPr>
          <w:ilvl w:val="0"/>
          <w:numId w:val="3"/>
        </w:numPr>
        <w:spacing w:after="60" w:line="276"/>
      </w:pPr>
      <w:r>
        <w:rPr>
          <w:rFonts w:ascii="Arial" w:cs="Arial" w:eastAsia="Arial" w:hAnsi="Arial"/>
          <w:color w:val="2C3E50"/>
          <w:sz w:val="20"/>
          <w:szCs w:val="20"/>
        </w:rPr>
        <w:t xml:space="preserve">Updates on regulatory changes</w:t>
      </w:r>
    </w:p>
    <w:p>
      <w:pPr>
        <w:pStyle w:val="ListParagraph"/>
        <w:numPr>
          <w:ilvl w:val="0"/>
          <w:numId w:val="3"/>
        </w:numPr>
        <w:spacing w:after="60" w:line="276"/>
      </w:pPr>
      <w:r>
        <w:rPr>
          <w:rFonts w:ascii="Arial" w:cs="Arial" w:eastAsia="Arial" w:hAnsi="Arial"/>
          <w:color w:val="2C3E50"/>
          <w:sz w:val="20"/>
          <w:szCs w:val="20"/>
        </w:rPr>
        <w:t xml:space="preserve">Incident lessons learned (anonymised)</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17. Documentation and Records</w:t>
      </w:r>
    </w:p>
    <w:p>
      <w:pPr>
        <w:pStyle w:val="Heading2"/>
        <w:spacing w:before="280" w:after="160"/>
      </w:pPr>
      <w:r>
        <w:rPr>
          <w:rFonts w:ascii="Arial" w:cs="Arial" w:eastAsia="Arial" w:hAnsi="Arial"/>
          <w:b/>
          <w:bCs/>
          <w:color w:val="1B5E8A"/>
          <w:sz w:val="24"/>
          <w:szCs w:val="24"/>
        </w:rPr>
        <w:t xml:space="preserve">17.1 Records of Processing Activities (Article 30)</w:t>
      </w:r>
    </w:p>
    <w:p>
      <w:pPr>
        <w:spacing w:after="120" w:line="276"/>
      </w:pPr>
      <w:r>
        <w:rPr>
          <w:rFonts w:ascii="Arial" w:cs="Arial" w:eastAsia="Arial" w:hAnsi="Arial"/>
          <w:b w:val="false"/>
          <w:bCs w:val="false"/>
          <w:i w:val="false"/>
          <w:iCs w:val="false"/>
          <w:color w:val="2C3E50"/>
          <w:sz w:val="20"/>
          <w:szCs w:val="20"/>
        </w:rPr>
        <w:t xml:space="preserve">A record of processing activities is maintained including: controller/processor contact details, purposes of processing, categories of data subjects and personal data, categories of recipients, transfers to third countries, retention periods, and security measures.</w:t>
      </w:r>
    </w:p>
    <w:p>
      <w:pPr>
        <w:pStyle w:val="Heading2"/>
        <w:spacing w:before="280" w:after="160"/>
      </w:pPr>
      <w:r>
        <w:rPr>
          <w:rFonts w:ascii="Arial" w:cs="Arial" w:eastAsia="Arial" w:hAnsi="Arial"/>
          <w:b/>
          <w:bCs/>
          <w:color w:val="1B5E8A"/>
          <w:sz w:val="24"/>
          <w:szCs w:val="24"/>
        </w:rPr>
        <w:t xml:space="preserve">17.2 Document Retention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Document</w:t>
            </w:r>
          </w:p>
        </w:tc>
        <w:tc>
          <w:tcPr>
            <w:tcW w:type="dxa" w:w="468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Retention Period</w:t>
            </w:r>
          </w:p>
        </w:tc>
      </w:tr>
      <w:tr>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Records of Processing Activities</w:t>
            </w:r>
          </w:p>
        </w:tc>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Duration of processing + 5 years</w:t>
            </w:r>
          </w:p>
        </w:tc>
      </w:tr>
      <w:tr>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DPIAs</w:t>
            </w:r>
          </w:p>
        </w:tc>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Duration of processing + 5 years</w:t>
            </w:r>
          </w:p>
        </w:tc>
      </w:tr>
      <w:tr>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Subject Request Records</w:t>
            </w:r>
          </w:p>
        </w:tc>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5 years from resolution</w:t>
            </w:r>
          </w:p>
        </w:tc>
      </w:tr>
      <w:tr>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Breach Register</w:t>
            </w:r>
          </w:p>
        </w:tc>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5 years from incident</w:t>
            </w:r>
          </w:p>
        </w:tc>
      </w:tr>
      <w:tr>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Consent Records</w:t>
            </w:r>
          </w:p>
        </w:tc>
        <w:tc>
          <w:tcPr>
            <w:tcW w:type="dxa" w:w="4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Duration of processing + 5 years</w:t>
            </w:r>
          </w:p>
        </w:tc>
      </w:tr>
      <w:tr>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Training Records</w:t>
            </w:r>
          </w:p>
        </w:tc>
        <w:tc>
          <w:tcPr>
            <w:tcW w:type="dxa" w:w="4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5 years from training date</w:t>
            </w:r>
          </w:p>
        </w:tc>
      </w:tr>
    </w:tbl>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18. Contact Information</w:t>
      </w:r>
    </w:p>
    <w:p>
      <w:pPr>
        <w:pStyle w:val="Heading2"/>
        <w:spacing w:before="280" w:after="160"/>
      </w:pPr>
      <w:r>
        <w:rPr>
          <w:rFonts w:ascii="Arial" w:cs="Arial" w:eastAsia="Arial" w:hAnsi="Arial"/>
          <w:b/>
          <w:bCs/>
          <w:color w:val="1B5E8A"/>
          <w:sz w:val="24"/>
          <w:szCs w:val="24"/>
        </w:rPr>
        <w:t xml:space="preserve">18.1 Data Protection Contact</w:t>
      </w:r>
    </w:p>
    <w:p>
      <w:pPr>
        <w:spacing w:after="100" w:line="276"/>
      </w:pPr>
      <w:r>
        <w:rPr>
          <w:rFonts w:ascii="Arial" w:cs="Arial" w:eastAsia="Arial" w:hAnsi="Arial"/>
          <w:b/>
          <w:bCs/>
          <w:color w:val="1A1A2E"/>
          <w:sz w:val="20"/>
          <w:szCs w:val="20"/>
        </w:rPr>
        <w:t xml:space="preserve">Email: </w:t>
      </w:r>
      <w:r>
        <w:rPr>
          <w:rFonts w:ascii="Arial" w:cs="Arial" w:eastAsia="Arial" w:hAnsi="Arial"/>
          <w:color w:val="2C3E50"/>
          <w:sz w:val="20"/>
          <w:szCs w:val="20"/>
        </w:rPr>
        <w:t xml:space="preserve">gdpr@monaco-opc.com</w:t>
      </w:r>
    </w:p>
    <w:p>
      <w:pPr>
        <w:spacing w:after="120" w:line="276"/>
      </w:pPr>
      <w:r>
        <w:rPr>
          <w:rFonts w:ascii="Arial" w:cs="Arial" w:eastAsia="Arial" w:hAnsi="Arial"/>
          <w:b w:val="false"/>
          <w:bCs w:val="false"/>
          <w:i w:val="false"/>
          <w:iCs w:val="false"/>
          <w:color w:val="2C3E50"/>
          <w:sz w:val="20"/>
          <w:szCs w:val="20"/>
        </w:rPr>
        <w:t xml:space="preserve">This is the primary contact for: data subject rights requests, privacy inquiries, breach notifications, and complaints.</w:t>
      </w:r>
    </w:p>
    <w:p>
      <w:pPr>
        <w:pStyle w:val="Heading2"/>
        <w:spacing w:before="280" w:after="160"/>
      </w:pPr>
      <w:r>
        <w:rPr>
          <w:rFonts w:ascii="Arial" w:cs="Arial" w:eastAsia="Arial" w:hAnsi="Arial"/>
          <w:b/>
          <w:bCs/>
          <w:color w:val="1B5E8A"/>
          <w:sz w:val="24"/>
          <w:szCs w:val="24"/>
        </w:rPr>
        <w:t xml:space="preserve">18.2 Supervisory Authority</w:t>
      </w:r>
    </w:p>
    <w:p>
      <w:pPr>
        <w:spacing w:after="100" w:line="276"/>
      </w:pPr>
      <w:r>
        <w:rPr>
          <w:rFonts w:ascii="Arial" w:cs="Arial" w:eastAsia="Arial" w:hAnsi="Arial"/>
          <w:b/>
          <w:bCs/>
          <w:color w:val="1A1A2E"/>
          <w:sz w:val="20"/>
          <w:szCs w:val="20"/>
        </w:rPr>
        <w:t xml:space="preserve">Autorité de Protection des Données Personnelles (APDP)</w:t>
      </w:r>
      <w:r>
        <w:rPr>
          <w:rFonts w:ascii="Arial" w:cs="Arial" w:eastAsia="Arial" w:hAnsi="Arial"/>
          <w:color w:val="2C3E50"/>
          <w:sz w:val="20"/>
          <w:szCs w:val="20"/>
        </w:rPr>
        <w:t xml:space="preserve"/>
      </w:r>
    </w:p>
    <w:p>
      <w:pPr>
        <w:spacing w:after="120" w:line="276"/>
      </w:pPr>
      <w:r>
        <w:rPr>
          <w:rFonts w:ascii="Arial" w:cs="Arial" w:eastAsia="Arial" w:hAnsi="Arial"/>
          <w:b w:val="false"/>
          <w:bCs w:val="false"/>
          <w:i w:val="false"/>
          <w:iCs w:val="false"/>
          <w:color w:val="2C3E50"/>
          <w:sz w:val="20"/>
          <w:szCs w:val="20"/>
        </w:rPr>
        <w:t xml:space="preserve">Principality of Monaco</w:t>
      </w:r>
    </w:p>
    <w:p>
      <w:pPr>
        <w:pStyle w:val="Heading2"/>
        <w:spacing w:before="280" w:after="160"/>
      </w:pPr>
      <w:r>
        <w:rPr>
          <w:rFonts w:ascii="Arial" w:cs="Arial" w:eastAsia="Arial" w:hAnsi="Arial"/>
          <w:b/>
          <w:bCs/>
          <w:color w:val="1B5E8A"/>
          <w:sz w:val="24"/>
          <w:szCs w:val="24"/>
        </w:rPr>
        <w:t xml:space="preserve">18.3 Joint Controller Contacts</w:t>
      </w:r>
    </w:p>
    <w:p>
      <w:pPr>
        <w:spacing w:after="120" w:line="276"/>
      </w:pPr>
      <w:r>
        <w:rPr>
          <w:rFonts w:ascii="Arial" w:cs="Arial" w:eastAsia="Arial" w:hAnsi="Arial"/>
          <w:b w:val="false"/>
          <w:bCs w:val="false"/>
          <w:i w:val="false"/>
          <w:iCs w:val="false"/>
          <w:color w:val="2C3E50"/>
          <w:sz w:val="20"/>
          <w:szCs w:val="20"/>
        </w:rPr>
        <w:t xml:space="preserve">Inquiries may also be directed to any of the joint controllers: International University of Monaco, Oceanographic Institute, Prince Albert I of Monaco Foundation, Monaco Impact, and Prince Albert II of Monaco Foundation. However, the email gdpr@monaco-opc.com serves as the efficient central point of contact.</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19. Document Control</w:t>
      </w:r>
    </w:p>
    <w:p>
      <w:pPr>
        <w:pStyle w:val="Heading2"/>
        <w:spacing w:before="280" w:after="160"/>
      </w:pPr>
      <w:r>
        <w:rPr>
          <w:rFonts w:ascii="Arial" w:cs="Arial" w:eastAsia="Arial" w:hAnsi="Arial"/>
          <w:b/>
          <w:bCs/>
          <w:color w:val="1B5E8A"/>
          <w:sz w:val="24"/>
          <w:szCs w:val="24"/>
        </w:rPr>
        <w:t xml:space="preserve">19.1 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1200"/>
        <w:gridCol w:w="5160"/>
      </w:tblGrid>
      <w:tr>
        <w:trPr>
          <w:tblHeader/>
        </w:trPr>
        <w:tc>
          <w:tcPr>
            <w:tcW w:type="dxa" w:w="1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Version</w:t>
            </w:r>
          </w:p>
        </w:tc>
        <w:tc>
          <w:tcPr>
            <w:tcW w:type="dxa" w:w="1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Date</w:t>
            </w:r>
          </w:p>
        </w:tc>
        <w:tc>
          <w:tcPr>
            <w:tcW w:type="dxa" w:w="1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Author</w:t>
            </w:r>
          </w:p>
        </w:tc>
        <w:tc>
          <w:tcPr>
            <w:tcW w:type="dxa" w:w="51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Changes</w:t>
            </w:r>
          </w:p>
        </w:tc>
      </w:tr>
      <w:tr>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1.0</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January 2025</w:t>
            </w:r>
          </w:p>
        </w:tc>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w:t>
            </w:r>
          </w:p>
        </w:tc>
        <w:tc>
          <w:tcPr>
            <w:tcW w:type="dxa" w:w="5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Initial version</w:t>
            </w:r>
          </w:p>
        </w:tc>
      </w:tr>
      <w:tr>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2.0</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February 2026</w:t>
            </w:r>
          </w:p>
        </w:tc>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w:t>
            </w:r>
          </w:p>
        </w:tc>
        <w:tc>
          <w:tcPr>
            <w:tcW w:type="dxa" w:w="5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Comprehensive revision: Added definitions, updated Monaco legal framework (Law 1.565, APDP), detailed all GDPR articles, expanded security measures, added DPIAs</w:t>
            </w:r>
          </w:p>
        </w:tc>
      </w:tr>
    </w:tbl>
    <w:p>
      <w:pPr>
        <w:pStyle w:val="Heading2"/>
        <w:spacing w:before="280" w:after="160"/>
      </w:pPr>
      <w:r>
        <w:rPr>
          <w:rFonts w:ascii="Arial" w:cs="Arial" w:eastAsia="Arial" w:hAnsi="Arial"/>
          <w:b/>
          <w:bCs/>
          <w:color w:val="1B5E8A"/>
          <w:sz w:val="24"/>
          <w:szCs w:val="24"/>
        </w:rPr>
        <w:t xml:space="preserve">19.2 Review Schedule</w:t>
      </w:r>
    </w:p>
    <w:p>
      <w:pPr>
        <w:spacing w:after="120" w:line="276"/>
      </w:pPr>
      <w:r>
        <w:rPr>
          <w:rFonts w:ascii="Arial" w:cs="Arial" w:eastAsia="Arial" w:hAnsi="Arial"/>
          <w:b w:val="false"/>
          <w:bCs w:val="false"/>
          <w:i w:val="false"/>
          <w:iCs w:val="false"/>
          <w:color w:val="2C3E50"/>
          <w:sz w:val="20"/>
          <w:szCs w:val="20"/>
        </w:rPr>
        <w:t xml:space="preserve">This document is reviewed annually (minimum), following significant regulatory changes, following significant changes to processing activities, and following security incidents.</w:t>
      </w:r>
    </w:p>
    <w:p>
      <w:pPr>
        <w:pStyle w:val="Heading2"/>
        <w:spacing w:before="280" w:after="160"/>
      </w:pPr>
      <w:r>
        <w:rPr>
          <w:rFonts w:ascii="Arial" w:cs="Arial" w:eastAsia="Arial" w:hAnsi="Arial"/>
          <w:b/>
          <w:bCs/>
          <w:color w:val="1B5E8A"/>
          <w:sz w:val="24"/>
          <w:szCs w:val="24"/>
        </w:rPr>
        <w:t xml:space="preserve">19.3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Role</w:t>
            </w:r>
          </w:p>
        </w:tc>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Name</w:t>
            </w:r>
          </w:p>
        </w:tc>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Date</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Document Owner</w:t>
            </w:r>
          </w:p>
        </w:tc>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[TBD]</w:t>
            </w:r>
          </w:p>
        </w:tc>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[TBD]</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Approved By</w:t>
            </w:r>
          </w:p>
        </w:tc>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[TBD]</w:t>
            </w:r>
          </w:p>
        </w:tc>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[TBD]</w:t>
            </w:r>
          </w:p>
        </w:tc>
      </w:tr>
    </w:tbl>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Appendices</w:t>
      </w:r>
    </w:p>
    <w:p>
      <w:pPr>
        <w:pStyle w:val="Heading2"/>
        <w:spacing w:before="280" w:after="160"/>
      </w:pPr>
      <w:r>
        <w:rPr>
          <w:rFonts w:ascii="Arial" w:cs="Arial" w:eastAsia="Arial" w:hAnsi="Arial"/>
          <w:b/>
          <w:bCs/>
          <w:color w:val="1B5E8A"/>
          <w:sz w:val="24"/>
          <w:szCs w:val="24"/>
        </w:rPr>
        <w:t xml:space="preserve">Appendix A: Related Documents</w:t>
      </w:r>
    </w:p>
    <w:p>
      <w:pPr>
        <w:pStyle w:val="ListParagraph"/>
        <w:numPr>
          <w:ilvl w:val="0"/>
          <w:numId w:val="3"/>
        </w:numPr>
        <w:spacing w:after="60" w:line="276"/>
      </w:pPr>
      <w:r>
        <w:rPr>
          <w:rFonts w:ascii="Arial" w:cs="Arial" w:eastAsia="Arial" w:hAnsi="Arial"/>
          <w:color w:val="2C3E50"/>
          <w:sz w:val="20"/>
          <w:szCs w:val="20"/>
        </w:rPr>
        <w:t xml:space="preserve">AI Data Processing – GDPR Compliance</w:t>
      </w:r>
    </w:p>
    <w:p>
      <w:pPr>
        <w:pStyle w:val="ListParagraph"/>
        <w:numPr>
          <w:ilvl w:val="0"/>
          <w:numId w:val="3"/>
        </w:numPr>
        <w:spacing w:after="60" w:line="276"/>
      </w:pPr>
      <w:r>
        <w:rPr>
          <w:rFonts w:ascii="Arial" w:cs="Arial" w:eastAsia="Arial" w:hAnsi="Arial"/>
          <w:color w:val="2C3E50"/>
          <w:sz w:val="20"/>
          <w:szCs w:val="20"/>
        </w:rPr>
        <w:t xml:space="preserve">AI System Architecture</w:t>
      </w:r>
    </w:p>
    <w:p>
      <w:pPr>
        <w:pStyle w:val="ListParagraph"/>
        <w:numPr>
          <w:ilvl w:val="0"/>
          <w:numId w:val="3"/>
        </w:numPr>
        <w:spacing w:after="60" w:line="276"/>
      </w:pPr>
      <w:r>
        <w:rPr>
          <w:rFonts w:ascii="Arial" w:cs="Arial" w:eastAsia="Arial" w:hAnsi="Arial"/>
          <w:color w:val="2C3E50"/>
          <w:sz w:val="20"/>
          <w:szCs w:val="20"/>
        </w:rPr>
        <w:t xml:space="preserve">Privacy Policy (To be created)</w:t>
      </w:r>
    </w:p>
    <w:p>
      <w:pPr>
        <w:pStyle w:val="ListParagraph"/>
        <w:numPr>
          <w:ilvl w:val="0"/>
          <w:numId w:val="3"/>
        </w:numPr>
        <w:spacing w:after="60" w:line="276"/>
      </w:pPr>
      <w:r>
        <w:rPr>
          <w:rFonts w:ascii="Arial" w:cs="Arial" w:eastAsia="Arial" w:hAnsi="Arial"/>
          <w:color w:val="2C3E50"/>
          <w:sz w:val="20"/>
          <w:szCs w:val="20"/>
        </w:rPr>
        <w:t xml:space="preserve">Cookie Policy (To be created)</w:t>
      </w:r>
    </w:p>
    <w:p>
      <w:pPr>
        <w:pStyle w:val="Heading2"/>
        <w:spacing w:before="280" w:after="160"/>
      </w:pPr>
      <w:r>
        <w:rPr>
          <w:rFonts w:ascii="Arial" w:cs="Arial" w:eastAsia="Arial" w:hAnsi="Arial"/>
          <w:b/>
          <w:bCs/>
          <w:color w:val="1B5E8A"/>
          <w:sz w:val="24"/>
          <w:szCs w:val="24"/>
        </w:rPr>
        <w:t xml:space="preserve">Appendix B: Legal References</w:t>
      </w:r>
    </w:p>
    <w:p>
      <w:pPr>
        <w:pStyle w:val="ListParagraph"/>
        <w:numPr>
          <w:ilvl w:val="0"/>
          <w:numId w:val="3"/>
        </w:numPr>
        <w:spacing w:after="60" w:line="276"/>
      </w:pPr>
      <w:r>
        <w:rPr>
          <w:rFonts w:ascii="Arial" w:cs="Arial" w:eastAsia="Arial" w:hAnsi="Arial"/>
          <w:color w:val="2C3E50"/>
          <w:sz w:val="20"/>
          <w:szCs w:val="20"/>
        </w:rPr>
        <w:t xml:space="preserve">Regulation (EU) 2016/679 (GDPR)</w:t>
      </w:r>
    </w:p>
    <w:p>
      <w:pPr>
        <w:pStyle w:val="ListParagraph"/>
        <w:numPr>
          <w:ilvl w:val="0"/>
          <w:numId w:val="3"/>
        </w:numPr>
        <w:spacing w:after="60" w:line="276"/>
      </w:pPr>
      <w:r>
        <w:rPr>
          <w:rFonts w:ascii="Arial" w:cs="Arial" w:eastAsia="Arial" w:hAnsi="Arial"/>
          <w:color w:val="2C3E50"/>
          <w:sz w:val="20"/>
          <w:szCs w:val="20"/>
        </w:rPr>
        <w:t xml:space="preserve">Monaco Law 1.565 of December 3, 2024</w:t>
      </w:r>
    </w:p>
    <w:p>
      <w:pPr>
        <w:pStyle w:val="ListParagraph"/>
        <w:numPr>
          <w:ilvl w:val="0"/>
          <w:numId w:val="3"/>
        </w:numPr>
        <w:spacing w:after="60" w:line="276"/>
      </w:pPr>
      <w:r>
        <w:rPr>
          <w:rFonts w:ascii="Arial" w:cs="Arial" w:eastAsia="Arial" w:hAnsi="Arial"/>
          <w:color w:val="2C3E50"/>
          <w:sz w:val="20"/>
          <w:szCs w:val="20"/>
        </w:rPr>
        <w:t xml:space="preserve">Convention 108+</w:t>
      </w:r>
    </w:p>
    <w:p>
      <w:pPr>
        <w:pStyle w:val="ListParagraph"/>
        <w:numPr>
          <w:ilvl w:val="0"/>
          <w:numId w:val="3"/>
        </w:numPr>
        <w:spacing w:after="60" w:line="276"/>
      </w:pPr>
      <w:r>
        <w:rPr>
          <w:rFonts w:ascii="Arial" w:cs="Arial" w:eastAsia="Arial" w:hAnsi="Arial"/>
          <w:color w:val="2C3E50"/>
          <w:sz w:val="20"/>
          <w:szCs w:val="20"/>
        </w:rPr>
        <w:t xml:space="preserve">OpenAI Data Processing Addendum</w:t>
      </w:r>
    </w:p>
    <w:p>
      <w:pPr>
        <w:pStyle w:val="ListParagraph"/>
        <w:numPr>
          <w:ilvl w:val="0"/>
          <w:numId w:val="3"/>
        </w:numPr>
        <w:spacing w:after="60" w:line="276"/>
      </w:pPr>
      <w:r>
        <w:rPr>
          <w:rFonts w:ascii="Arial" w:cs="Arial" w:eastAsia="Arial" w:hAnsi="Arial"/>
          <w:color w:val="2C3E50"/>
          <w:sz w:val="20"/>
          <w:szCs w:val="20"/>
        </w:rPr>
        <w:t xml:space="preserve">OpenAI EU Data Residency</w:t>
      </w:r>
    </w:p>
    <w:sectPr>
      <w:headerReference w:type="default" r:id="rId6"/>
      <w:footerReference w:type="default" r:id="rId7"/>
      <w:pgSz w:w="12240" w:h="15840" w:orient="portrait"/>
      <w:pgMar w:top="1440" w:right="1280" w:bottom="144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7EE" w:sz="1"/>
      </w:pBdr>
      <w:jc w:val="center"/>
    </w:pPr>
    <w:r>
      <w:rPr>
        <w:rFonts w:ascii="Arial" w:cs="Arial" w:eastAsia="Arial" w:hAnsi="Arial"/>
        <w:color w:val="2C3E50"/>
        <w:sz w:val="16"/>
        <w:szCs w:val="16"/>
      </w:rPr>
      <w:t xml:space="preserve">Monaco Ocean Protection Challenge  |  Confidential  |  Page </w:t>
    </w:r>
    <w:r>
      <w:rPr>
        <w:rFonts w:ascii="Arial" w:cs="Arial" w:eastAsia="Arial" w:hAnsi="Arial"/>
        <w:color w:val="2C3E5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7EE" w:sz="2"/>
      </w:pBdr>
      <w:spacing w:after="0"/>
      <w:jc w:val="left"/>
    </w:pPr>
    <w:r>
      <w:drawing>
        <wp:inline distT="0" distB="0" distL="0" distR="0">
          <wp:extent cx="285750" cy="266700"/>
          <wp:effectExtent t="0" r="0" b="0" l="0"/>
          <wp:docPr id="1" name="logo" descr="MOPC Logo" title="MO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 cy="266700"/>
                  </a:xfrm>
                  <a:prstGeom prst="rect">
                    <a:avLst/>
                  </a:prstGeom>
                </pic:spPr>
              </pic:pic>
            </a:graphicData>
          </a:graphic>
        </wp:inline>
      </w:drawing>
    </w:r>
    <w:r>
      <w:rPr>
        <w:rFonts w:ascii="Arial" w:cs="Arial" w:eastAsia="Arial" w:hAnsi="Arial"/>
        <w:color w:val="1B5E8A"/>
        <w:sz w:val="16"/>
        <w:szCs w:val="16"/>
      </w:rPr>
      <w:t xml:space="preserve">  MOPC Platform – GDPR Compliance Documentation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9"/>
    <w:lvlOverride w:ilvl="0">
      <w:startOverride w:val="1"/>
    </w:lvlOverride>
  </w:num>
  <w:num w:numId="6">
    <w:abstractNumId w:val="10"/>
    <w:lvlOverride w:ilvl="0">
      <w:startOverride w:val="1"/>
    </w:lvlOverride>
  </w:num>
  <w:num w:numId="7">
    <w:abstractNumId w:val="11"/>
    <w:lvlOverride w:ilvl="0">
      <w:startOverride w:val="1"/>
    </w:lvlOverride>
  </w:num>
  <w:num w:numId="8">
    <w:abstractNumId w:val="12"/>
    <w:lvlOverride w:ilvl="0">
      <w:startOverride w:val="1"/>
    </w:lvlOverride>
  </w:num>
  <w:num w:numId="9">
    <w:abstractNumId w:val="5"/>
    <w:lvlOverride w:ilvl="0">
      <w:startOverride w:val="1"/>
    </w:lvlOverride>
  </w:num>
  <w:num w:numId="10">
    <w:abstractNumId w:val="6"/>
    <w:lvlOverride w:ilvl="0">
      <w:startOverride w:val="1"/>
    </w:lvlOverride>
  </w:num>
  <w:num w:numId="11">
    <w:abstractNumId w:val="7"/>
    <w:lvlOverride w:ilvl="0">
      <w:startOverride w:val="1"/>
    </w:lvlOverride>
  </w:num>
  <w:num w:numId="12">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0C2340"/>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5E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87dd1c76e06f25c3a4706824d0a6bbc22399e070.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7dd1c76e06f25c3a4706824d0a6bbc22399e07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2026-02-03T12:07:53.747Z</dcterms:created>
  <dcterms:modified xsi:type="dcterms:W3CDTF">2026-02-03T12:07:53.748Z</dcterms:modified>
</cp:coreProperties>
</file>

<file path=docProps/custom.xml><?xml version="1.0" encoding="utf-8"?>
<Properties xmlns="http://schemas.openxmlformats.org/officeDocument/2006/custom-properties" xmlns:vt="http://schemas.openxmlformats.org/officeDocument/2006/docPropsVTypes"/>
</file>